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spacing w:val="45"/>
          <w:sz w:val="64"/>
          <w:szCs w:val="64"/>
        </w:rPr>
      </w:pPr>
    </w:p>
    <w:p>
      <w:pPr>
        <w:jc w:val="center"/>
        <w:rPr>
          <w:sz w:val="56"/>
          <w:szCs w:val="56"/>
        </w:rPr>
      </w:pPr>
      <w:r>
        <w:rPr>
          <w:rFonts w:hint="eastAsia"/>
          <w:spacing w:val="45"/>
          <w:sz w:val="56"/>
          <w:szCs w:val="56"/>
        </w:rPr>
        <w:t>阳新县县级政府采购</w:t>
      </w:r>
    </w:p>
    <w:p>
      <w:pPr>
        <w:pStyle w:val="16"/>
      </w:pPr>
    </w:p>
    <w:p>
      <w:pPr>
        <w:pStyle w:val="27"/>
        <w:ind w:firstLine="200"/>
      </w:pPr>
    </w:p>
    <w:p>
      <w:pPr>
        <w:jc w:val="center"/>
        <w:rPr>
          <w:color w:val="000000" w:themeColor="text1"/>
          <w:w w:val="66"/>
          <w:sz w:val="144"/>
          <w:szCs w:val="144"/>
          <w14:textFill>
            <w14:solidFill>
              <w14:schemeClr w14:val="tx1"/>
            </w14:solidFill>
          </w14:textFill>
        </w:rPr>
      </w:pPr>
      <w:r>
        <w:rPr>
          <w:bCs/>
          <w:color w:val="000000" w:themeColor="text1"/>
          <w:w w:val="66"/>
          <w:sz w:val="144"/>
          <w:szCs w:val="144"/>
          <w14:textFill>
            <w14:solidFill>
              <w14:schemeClr w14:val="tx1"/>
            </w14:solidFill>
          </w14:textFill>
        </w:rPr>
        <w:t>竞争性</w:t>
      </w:r>
      <w:r>
        <w:rPr>
          <w:rFonts w:hint="eastAsia"/>
          <w:bCs/>
          <w:color w:val="000000" w:themeColor="text1"/>
          <w:w w:val="66"/>
          <w:sz w:val="144"/>
          <w:szCs w:val="144"/>
          <w14:textFill>
            <w14:solidFill>
              <w14:schemeClr w14:val="tx1"/>
            </w14:solidFill>
          </w14:textFill>
        </w:rPr>
        <w:t>磋商</w:t>
      </w:r>
      <w:r>
        <w:rPr>
          <w:bCs/>
          <w:color w:val="000000" w:themeColor="text1"/>
          <w:w w:val="66"/>
          <w:sz w:val="144"/>
          <w:szCs w:val="144"/>
          <w14:textFill>
            <w14:solidFill>
              <w14:schemeClr w14:val="tx1"/>
            </w14:solidFill>
          </w14:textFill>
        </w:rPr>
        <w:t>文件</w:t>
      </w:r>
    </w:p>
    <w:p>
      <w:pPr>
        <w:jc w:val="center"/>
        <w:rPr>
          <w:color w:val="000000" w:themeColor="text1"/>
          <w:sz w:val="48"/>
          <w:szCs w:val="28"/>
          <w14:textFill>
            <w14:solidFill>
              <w14:schemeClr w14:val="tx1"/>
            </w14:solidFill>
          </w14:textFill>
        </w:rPr>
      </w:pPr>
    </w:p>
    <w:p>
      <w:pPr>
        <w:rPr>
          <w:bCs/>
          <w:color w:val="000000" w:themeColor="text1"/>
          <w:sz w:val="36"/>
          <w14:textFill>
            <w14:solidFill>
              <w14:schemeClr w14:val="tx1"/>
            </w14:solidFill>
          </w14:textFill>
        </w:rPr>
      </w:pPr>
    </w:p>
    <w:p>
      <w:pPr>
        <w:pStyle w:val="46"/>
      </w:pPr>
    </w:p>
    <w:p>
      <w:pPr>
        <w:rPr>
          <w:bCs/>
          <w:color w:val="000000" w:themeColor="text1"/>
          <w:sz w:val="36"/>
          <w14:textFill>
            <w14:solidFill>
              <w14:schemeClr w14:val="tx1"/>
            </w14:solidFill>
          </w14:textFill>
        </w:rPr>
      </w:pPr>
    </w:p>
    <w:p>
      <w:pPr>
        <w:spacing w:line="700" w:lineRule="exact"/>
        <w:ind w:firstLine="640" w:firstLineChars="200"/>
        <w:rPr>
          <w:rFonts w:ascii="华文中宋" w:hAnsi="华文中宋" w:eastAsia="华文中宋"/>
          <w:sz w:val="32"/>
        </w:rPr>
      </w:pPr>
      <w:r>
        <w:rPr>
          <w:rFonts w:hint="eastAsia" w:ascii="华文中宋" w:hAnsi="华文中宋" w:eastAsia="华文中宋"/>
          <w:sz w:val="32"/>
        </w:rPr>
        <w:t>项目编号：131-2022CG-</w:t>
      </w:r>
      <w:r>
        <w:rPr>
          <w:rFonts w:hint="eastAsia" w:ascii="华文中宋" w:hAnsi="华文中宋" w:eastAsia="华文中宋"/>
          <w:sz w:val="32"/>
          <w:lang w:val="en-US" w:eastAsia="zh-CN"/>
        </w:rPr>
        <w:t>144</w:t>
      </w:r>
      <w:r>
        <w:rPr>
          <w:rFonts w:hint="eastAsia" w:ascii="华文中宋" w:hAnsi="华文中宋" w:eastAsia="华文中宋"/>
          <w:sz w:val="32"/>
        </w:rPr>
        <w:t xml:space="preserve"> </w:t>
      </w:r>
    </w:p>
    <w:p>
      <w:pPr>
        <w:spacing w:line="700" w:lineRule="exact"/>
        <w:ind w:firstLine="640" w:firstLineChars="200"/>
        <w:rPr>
          <w:rFonts w:ascii="华文中宋" w:hAnsi="华文中宋" w:eastAsia="华文中宋"/>
          <w:sz w:val="32"/>
        </w:rPr>
      </w:pPr>
      <w:r>
        <w:rPr>
          <w:rFonts w:hint="eastAsia" w:ascii="华文中宋" w:hAnsi="华文中宋" w:eastAsia="华文中宋"/>
          <w:sz w:val="32"/>
        </w:rPr>
        <w:t>采购单位：阳新县洋港镇人民政府</w:t>
      </w:r>
    </w:p>
    <w:p>
      <w:pPr>
        <w:spacing w:line="700" w:lineRule="exact"/>
        <w:ind w:firstLine="640" w:firstLineChars="200"/>
        <w:rPr>
          <w:rFonts w:ascii="华文中宋" w:hAnsi="华文中宋" w:eastAsia="华文中宋"/>
          <w:sz w:val="32"/>
        </w:rPr>
      </w:pPr>
      <w:r>
        <w:rPr>
          <w:rFonts w:hint="eastAsia" w:ascii="华文中宋" w:hAnsi="华文中宋" w:eastAsia="华文中宋"/>
          <w:sz w:val="32"/>
        </w:rPr>
        <w:t>项目名称：阳新县洋港镇崩山村关停煤矿地下水综合治理项目专项水文地质勘察服务项目</w:t>
      </w:r>
    </w:p>
    <w:p>
      <w:pPr>
        <w:spacing w:line="360" w:lineRule="auto"/>
        <w:rPr>
          <w:rFonts w:ascii="华文中宋" w:hAnsi="华文中宋" w:eastAsia="华文中宋"/>
          <w:b/>
          <w:bCs/>
          <w:sz w:val="72"/>
          <w:szCs w:val="72"/>
        </w:rPr>
      </w:pPr>
    </w:p>
    <w:p>
      <w:pPr>
        <w:adjustRightInd w:val="0"/>
        <w:snapToGrid w:val="0"/>
        <w:spacing w:line="800" w:lineRule="exact"/>
        <w:jc w:val="center"/>
        <w:rPr>
          <w:rFonts w:hint="eastAsia" w:ascii="宋体" w:hAnsi="宋体" w:eastAsia="宋体" w:cs="宋体"/>
          <w:bCs/>
          <w:spacing w:val="34"/>
          <w:sz w:val="48"/>
          <w:szCs w:val="48"/>
          <w:lang w:eastAsia="zh-CN"/>
        </w:rPr>
      </w:pPr>
      <w:r>
        <w:rPr>
          <w:rFonts w:hint="eastAsia" w:ascii="华文中宋" w:hAnsi="华文中宋" w:eastAsia="华文中宋"/>
          <w:spacing w:val="34"/>
          <w:sz w:val="48"/>
          <w:szCs w:val="48"/>
          <w:lang w:eastAsia="zh-CN"/>
        </w:rPr>
        <w:t>武汉安平天志工程咨询有限公司</w:t>
      </w:r>
    </w:p>
    <w:p>
      <w:pPr>
        <w:adjustRightInd w:val="0"/>
        <w:snapToGrid w:val="0"/>
        <w:spacing w:line="800" w:lineRule="exact"/>
        <w:jc w:val="center"/>
        <w:rPr>
          <w:rFonts w:ascii="宋体" w:hAnsi="宋体" w:cs="宋体"/>
          <w:b/>
          <w:bCs/>
          <w:sz w:val="48"/>
          <w:szCs w:val="48"/>
        </w:rPr>
      </w:pPr>
      <w:r>
        <w:rPr>
          <w:rFonts w:hint="eastAsia" w:ascii="宋体" w:hAnsi="宋体" w:cs="宋体"/>
          <w:b/>
          <w:bCs/>
          <w:sz w:val="48"/>
          <w:szCs w:val="48"/>
        </w:rPr>
        <w:t>2022年</w:t>
      </w:r>
      <w:r>
        <w:rPr>
          <w:rFonts w:hint="eastAsia" w:ascii="宋体" w:hAnsi="宋体" w:cs="宋体"/>
          <w:b/>
          <w:bCs/>
          <w:sz w:val="48"/>
          <w:szCs w:val="48"/>
          <w:lang w:val="en-US" w:eastAsia="zh-CN"/>
        </w:rPr>
        <w:t>7</w:t>
      </w:r>
      <w:r>
        <w:rPr>
          <w:rFonts w:hint="eastAsia" w:ascii="宋体" w:hAnsi="宋体" w:cs="宋体"/>
          <w:b/>
          <w:bCs/>
          <w:sz w:val="48"/>
          <w:szCs w:val="48"/>
        </w:rPr>
        <w:t>月</w:t>
      </w:r>
    </w:p>
    <w:p>
      <w:pPr>
        <w:pStyle w:val="46"/>
        <w:sectPr>
          <w:headerReference r:id="rId3" w:type="default"/>
          <w:pgSz w:w="11906" w:h="16838"/>
          <w:pgMar w:top="1440" w:right="1079" w:bottom="1440" w:left="1587" w:header="851" w:footer="992" w:gutter="0"/>
          <w:pgNumType w:start="1"/>
          <w:cols w:space="425" w:num="1"/>
          <w:docGrid w:type="lines" w:linePitch="312" w:charSpace="0"/>
        </w:sectPr>
      </w:pPr>
    </w:p>
    <w:p>
      <w:pPr>
        <w:pStyle w:val="46"/>
      </w:pPr>
    </w:p>
    <w:p>
      <w:pPr>
        <w:jc w:val="center"/>
        <w:rPr>
          <w:rFonts w:ascii="宋体" w:hAnsi="宋体"/>
          <w:b/>
          <w:sz w:val="44"/>
          <w:szCs w:val="44"/>
        </w:rPr>
      </w:pPr>
      <w:r>
        <w:rPr>
          <w:rFonts w:hint="eastAsia" w:ascii="宋体" w:hAnsi="宋体"/>
          <w:b/>
          <w:sz w:val="44"/>
          <w:szCs w:val="44"/>
        </w:rPr>
        <w:t>竞争性磋商文件审核意见表</w:t>
      </w:r>
    </w:p>
    <w:p>
      <w:pPr>
        <w:rPr>
          <w:rFonts w:hint="default" w:ascii="宋体" w:hAnsi="宋体" w:eastAsia="宋体"/>
          <w:szCs w:val="28"/>
          <w:lang w:val="en-US" w:eastAsia="zh-CN"/>
        </w:rPr>
      </w:pPr>
      <w:r>
        <w:rPr>
          <w:rFonts w:hint="eastAsia" w:ascii="宋体" w:hAnsi="宋体"/>
          <w:szCs w:val="28"/>
        </w:rPr>
        <w:t>项目编号：131-2022CG-</w:t>
      </w:r>
      <w:r>
        <w:rPr>
          <w:rFonts w:hint="eastAsia" w:ascii="宋体" w:hAnsi="宋体"/>
          <w:szCs w:val="28"/>
          <w:lang w:val="en-US" w:eastAsia="zh-CN"/>
        </w:rPr>
        <w:t>144</w:t>
      </w:r>
    </w:p>
    <w:tbl>
      <w:tblPr>
        <w:tblStyle w:val="29"/>
        <w:tblW w:w="87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1"/>
        <w:gridCol w:w="6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2131" w:type="dxa"/>
            <w:vAlign w:val="center"/>
          </w:tcPr>
          <w:p>
            <w:pPr>
              <w:jc w:val="center"/>
              <w:rPr>
                <w:rFonts w:ascii="宋体" w:hAnsi="宋体"/>
                <w:szCs w:val="28"/>
              </w:rPr>
            </w:pPr>
            <w:r>
              <w:rPr>
                <w:rFonts w:hint="eastAsia" w:ascii="宋体" w:hAnsi="宋体"/>
                <w:szCs w:val="28"/>
              </w:rPr>
              <w:t>项目名称</w:t>
            </w:r>
          </w:p>
        </w:tc>
        <w:tc>
          <w:tcPr>
            <w:tcW w:w="6629" w:type="dxa"/>
            <w:vAlign w:val="center"/>
          </w:tcPr>
          <w:p>
            <w:pPr>
              <w:pStyle w:val="123"/>
              <w:jc w:val="left"/>
              <w:rPr>
                <w:sz w:val="28"/>
                <w:szCs w:val="28"/>
              </w:rPr>
            </w:pPr>
            <w:r>
              <w:rPr>
                <w:rFonts w:hint="eastAsia" w:ascii="华文中宋" w:hAnsi="华文中宋" w:eastAsia="华文中宋"/>
                <w:sz w:val="28"/>
                <w:szCs w:val="28"/>
              </w:rPr>
              <w:t>阳新县洋港镇崩山村关停煤矿地下水综合治理项目专项水文地质勘察服务项目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0" w:hRule="atLeast"/>
        </w:trPr>
        <w:tc>
          <w:tcPr>
            <w:tcW w:w="2131" w:type="dxa"/>
            <w:vAlign w:val="center"/>
          </w:tcPr>
          <w:p>
            <w:pPr>
              <w:jc w:val="center"/>
              <w:rPr>
                <w:rFonts w:ascii="宋体" w:hAnsi="宋体"/>
                <w:szCs w:val="28"/>
              </w:rPr>
            </w:pPr>
            <w:r>
              <w:rPr>
                <w:rFonts w:hint="eastAsia" w:ascii="宋体" w:hAnsi="宋体"/>
                <w:szCs w:val="28"/>
              </w:rPr>
              <w:t>采购人</w:t>
            </w:r>
          </w:p>
        </w:tc>
        <w:tc>
          <w:tcPr>
            <w:tcW w:w="6629" w:type="dxa"/>
            <w:vAlign w:val="center"/>
          </w:tcPr>
          <w:p>
            <w:pPr>
              <w:jc w:val="left"/>
              <w:rPr>
                <w:rFonts w:ascii="宋体" w:hAnsi="宋体"/>
                <w:szCs w:val="28"/>
              </w:rPr>
            </w:pPr>
            <w:r>
              <w:rPr>
                <w:rFonts w:hint="eastAsia" w:ascii="华文中宋" w:hAnsi="华文中宋" w:eastAsia="华文中宋"/>
                <w:szCs w:val="28"/>
              </w:rPr>
              <w:t>阳新县洋港镇人民政府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1" w:hRule="atLeast"/>
        </w:trPr>
        <w:tc>
          <w:tcPr>
            <w:tcW w:w="2131" w:type="dxa"/>
            <w:vAlign w:val="center"/>
          </w:tcPr>
          <w:p>
            <w:pPr>
              <w:jc w:val="center"/>
              <w:rPr>
                <w:rFonts w:ascii="宋体" w:hAnsi="宋体"/>
                <w:szCs w:val="28"/>
              </w:rPr>
            </w:pPr>
            <w:r>
              <w:rPr>
                <w:rFonts w:hint="eastAsia" w:ascii="宋体" w:hAnsi="宋体"/>
                <w:szCs w:val="28"/>
              </w:rPr>
              <w:t>采购代理机构</w:t>
            </w:r>
          </w:p>
        </w:tc>
        <w:tc>
          <w:tcPr>
            <w:tcW w:w="6629" w:type="dxa"/>
            <w:vAlign w:val="center"/>
          </w:tcPr>
          <w:p>
            <w:pPr>
              <w:jc w:val="left"/>
              <w:rPr>
                <w:rFonts w:hint="eastAsia" w:ascii="宋体" w:hAnsi="宋体" w:eastAsia="宋体"/>
                <w:szCs w:val="28"/>
                <w:lang w:eastAsia="zh-CN"/>
              </w:rPr>
            </w:pPr>
            <w:r>
              <w:rPr>
                <w:rFonts w:hint="eastAsia" w:ascii="华文中宋" w:hAnsi="华文中宋" w:eastAsia="华文中宋"/>
                <w:szCs w:val="28"/>
                <w:lang w:eastAsia="zh-CN"/>
              </w:rPr>
              <w:t>武汉安平天志工程咨询有限公司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5" w:hRule="atLeast"/>
        </w:trPr>
        <w:tc>
          <w:tcPr>
            <w:tcW w:w="2131" w:type="dxa"/>
            <w:vAlign w:val="center"/>
          </w:tcPr>
          <w:p>
            <w:pPr>
              <w:jc w:val="center"/>
              <w:rPr>
                <w:rFonts w:ascii="宋体" w:hAnsi="宋体"/>
                <w:szCs w:val="28"/>
              </w:rPr>
            </w:pPr>
            <w:r>
              <w:rPr>
                <w:rFonts w:hint="eastAsia" w:ascii="宋体" w:hAnsi="宋体"/>
                <w:szCs w:val="28"/>
              </w:rPr>
              <w:t>送审内容</w:t>
            </w:r>
          </w:p>
        </w:tc>
        <w:tc>
          <w:tcPr>
            <w:tcW w:w="6629" w:type="dxa"/>
            <w:vAlign w:val="center"/>
          </w:tcPr>
          <w:p>
            <w:pPr>
              <w:jc w:val="left"/>
              <w:rPr>
                <w:rFonts w:ascii="华文中宋" w:hAnsi="华文中宋" w:eastAsia="华文中宋"/>
                <w:szCs w:val="28"/>
              </w:rPr>
            </w:pPr>
            <w:r>
              <w:rPr>
                <w:rFonts w:hint="eastAsia" w:ascii="华文中宋" w:hAnsi="华文中宋" w:eastAsia="华文中宋"/>
                <w:szCs w:val="28"/>
              </w:rPr>
              <w:t>阳新县洋港镇崩山村关停煤矿地下水综合治理项目专项水文地质勘察服务项目竞争性磋商文件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7" w:hRule="atLeast"/>
        </w:trPr>
        <w:tc>
          <w:tcPr>
            <w:tcW w:w="2131" w:type="dxa"/>
            <w:vAlign w:val="center"/>
          </w:tcPr>
          <w:p>
            <w:pPr>
              <w:jc w:val="center"/>
              <w:rPr>
                <w:rFonts w:ascii="宋体" w:hAnsi="宋体"/>
                <w:szCs w:val="28"/>
              </w:rPr>
            </w:pPr>
            <w:r>
              <w:rPr>
                <w:rFonts w:hint="eastAsia" w:ascii="宋体" w:hAnsi="宋体"/>
                <w:szCs w:val="28"/>
              </w:rPr>
              <w:t>采购人对竞争性磋商文件审核意见</w:t>
            </w:r>
          </w:p>
        </w:tc>
        <w:tc>
          <w:tcPr>
            <w:tcW w:w="6629" w:type="dxa"/>
            <w:vAlign w:val="center"/>
          </w:tcPr>
          <w:p>
            <w:pPr>
              <w:rPr>
                <w:rFonts w:ascii="宋体" w:hAnsi="宋体"/>
                <w:szCs w:val="28"/>
              </w:rPr>
            </w:pPr>
          </w:p>
          <w:p>
            <w:pPr>
              <w:rPr>
                <w:rFonts w:ascii="宋体" w:hAnsi="宋体"/>
                <w:szCs w:val="28"/>
              </w:rPr>
            </w:pPr>
            <w:r>
              <w:rPr>
                <w:rFonts w:hint="eastAsia" w:ascii="宋体" w:hAnsi="宋体"/>
                <w:szCs w:val="28"/>
              </w:rPr>
              <w:t>签字（盖章）：</w:t>
            </w:r>
          </w:p>
          <w:p>
            <w:pPr>
              <w:pStyle w:val="46"/>
              <w:rPr>
                <w:rFonts w:ascii="宋体" w:hAnsi="宋体"/>
                <w:sz w:val="28"/>
                <w:szCs w:val="28"/>
              </w:rPr>
            </w:pPr>
          </w:p>
          <w:p>
            <w:pPr>
              <w:pStyle w:val="46"/>
              <w:rPr>
                <w:rFonts w:ascii="宋体" w:hAnsi="宋体"/>
                <w:sz w:val="28"/>
                <w:szCs w:val="28"/>
              </w:rPr>
            </w:pPr>
          </w:p>
          <w:p>
            <w:pPr>
              <w:pStyle w:val="46"/>
              <w:rPr>
                <w:rFonts w:ascii="宋体" w:hAnsi="宋体"/>
                <w:sz w:val="28"/>
                <w:szCs w:val="28"/>
              </w:rPr>
            </w:pPr>
          </w:p>
          <w:p>
            <w:pPr>
              <w:pStyle w:val="46"/>
              <w:rPr>
                <w:rFonts w:ascii="宋体" w:hAnsi="宋体"/>
                <w:sz w:val="28"/>
                <w:szCs w:val="28"/>
              </w:rPr>
            </w:pPr>
          </w:p>
          <w:p>
            <w:pPr>
              <w:pStyle w:val="46"/>
              <w:rPr>
                <w:rFonts w:ascii="宋体" w:hAnsi="宋体"/>
                <w:sz w:val="28"/>
                <w:szCs w:val="28"/>
              </w:rPr>
            </w:pPr>
          </w:p>
          <w:p>
            <w:pPr>
              <w:ind w:firstLine="3360" w:firstLineChars="1200"/>
              <w:rPr>
                <w:rFonts w:ascii="宋体" w:hAnsi="宋体"/>
                <w:szCs w:val="28"/>
              </w:rPr>
            </w:pPr>
          </w:p>
          <w:p>
            <w:pPr>
              <w:rPr>
                <w:rFonts w:ascii="宋体" w:hAnsi="宋体"/>
                <w:szCs w:val="28"/>
              </w:rPr>
            </w:pPr>
            <w:r>
              <w:rPr>
                <w:rFonts w:hint="eastAsia" w:ascii="宋体" w:hAnsi="宋体"/>
                <w:szCs w:val="28"/>
              </w:rPr>
              <w:t xml:space="preserve">                               2022年</w:t>
            </w:r>
            <w:r>
              <w:rPr>
                <w:rFonts w:hint="eastAsia" w:ascii="宋体" w:hAnsi="宋体"/>
                <w:szCs w:val="28"/>
                <w:lang w:val="en-US" w:eastAsia="zh-CN"/>
              </w:rPr>
              <w:t>7</w:t>
            </w:r>
            <w:r>
              <w:rPr>
                <w:rFonts w:hint="eastAsia" w:ascii="宋体" w:hAnsi="宋体"/>
                <w:szCs w:val="28"/>
              </w:rPr>
              <w:t>月</w:t>
            </w:r>
            <w:r>
              <w:rPr>
                <w:rFonts w:hint="eastAsia" w:ascii="宋体" w:hAnsi="宋体"/>
                <w:szCs w:val="28"/>
                <w:lang w:val="en-US" w:eastAsia="zh-CN"/>
              </w:rPr>
              <w:t>8</w:t>
            </w:r>
            <w:r>
              <w:rPr>
                <w:rFonts w:hint="eastAsia" w:ascii="宋体" w:hAnsi="宋体"/>
                <w:szCs w:val="28"/>
              </w:rPr>
              <w:t>日</w:t>
            </w:r>
          </w:p>
        </w:tc>
      </w:tr>
    </w:tbl>
    <w:sdt>
      <w:sdtPr>
        <w:rPr>
          <w:rFonts w:ascii="宋体" w:hAnsi="宋体"/>
          <w:sz w:val="21"/>
        </w:rPr>
        <w:id w:val="147460023"/>
        <w:docPartObj>
          <w:docPartGallery w:val="Table of Contents"/>
          <w:docPartUnique/>
        </w:docPartObj>
      </w:sdtPr>
      <w:sdtEndPr>
        <w:rPr>
          <w:rFonts w:ascii="Times New Roman" w:hAnsi="Times New Roman"/>
          <w:bCs/>
          <w:color w:val="000000" w:themeColor="text1"/>
          <w:sz w:val="28"/>
          <w:szCs w:val="36"/>
          <w14:textFill>
            <w14:solidFill>
              <w14:schemeClr w14:val="tx1"/>
            </w14:solidFill>
          </w14:textFill>
        </w:rPr>
      </w:sdtEndPr>
      <w:sdtContent>
        <w:p>
          <w:pPr>
            <w:jc w:val="center"/>
          </w:pPr>
        </w:p>
        <w:p>
          <w:pPr>
            <w:pStyle w:val="121"/>
            <w:tabs>
              <w:tab w:val="right" w:leader="dot" w:pos="8732"/>
            </w:tabs>
            <w:jc w:val="center"/>
            <w:rPr>
              <w:bCs/>
              <w:color w:val="000000" w:themeColor="text1"/>
              <w:sz w:val="44"/>
              <w:szCs w:val="44"/>
              <w14:textFill>
                <w14:solidFill>
                  <w14:schemeClr w14:val="tx1"/>
                </w14:solidFill>
              </w14:textFill>
            </w:rPr>
          </w:pPr>
          <w:r>
            <w:rPr>
              <w:rFonts w:hint="eastAsia"/>
              <w:bCs/>
              <w:color w:val="000000" w:themeColor="text1"/>
              <w:sz w:val="44"/>
              <w:szCs w:val="44"/>
              <w14:textFill>
                <w14:solidFill>
                  <w14:schemeClr w14:val="tx1"/>
                </w14:solidFill>
              </w14:textFill>
            </w:rPr>
            <w:t>目 录</w:t>
          </w:r>
        </w:p>
        <w:p>
          <w:pPr>
            <w:pStyle w:val="121"/>
            <w:tabs>
              <w:tab w:val="right" w:leader="dot" w:pos="8732"/>
            </w:tabs>
            <w:rPr>
              <w:rFonts w:ascii="宋体" w:hAnsi="宋体" w:cs="宋体"/>
              <w:sz w:val="28"/>
              <w:szCs w:val="28"/>
            </w:rPr>
          </w:pPr>
          <w:r>
            <w:rPr>
              <w:bCs/>
              <w:color w:val="000000" w:themeColor="text1"/>
              <w:sz w:val="44"/>
              <w:szCs w:val="44"/>
              <w14:textFill>
                <w14:solidFill>
                  <w14:schemeClr w14:val="tx1"/>
                </w14:solidFill>
              </w14:textFill>
            </w:rPr>
            <w:fldChar w:fldCharType="begin"/>
          </w:r>
          <w:r>
            <w:rPr>
              <w:bCs/>
              <w:color w:val="000000" w:themeColor="text1"/>
              <w:sz w:val="44"/>
              <w:szCs w:val="44"/>
              <w14:textFill>
                <w14:solidFill>
                  <w14:schemeClr w14:val="tx1"/>
                </w14:solidFill>
              </w14:textFill>
            </w:rPr>
            <w:instrText xml:space="preserve">TOC \o "1-1" \h \u </w:instrText>
          </w:r>
          <w:r>
            <w:rPr>
              <w:bCs/>
              <w:color w:val="000000" w:themeColor="text1"/>
              <w:sz w:val="44"/>
              <w:szCs w:val="44"/>
              <w14:textFill>
                <w14:solidFill>
                  <w14:schemeClr w14:val="tx1"/>
                </w14:solidFill>
              </w14:textFill>
            </w:rPr>
            <w:fldChar w:fldCharType="separate"/>
          </w:r>
          <w:r>
            <w:fldChar w:fldCharType="begin"/>
          </w:r>
          <w:r>
            <w:instrText xml:space="preserve"> HYPERLINK \l "_Toc3380" </w:instrText>
          </w:r>
          <w:r>
            <w:fldChar w:fldCharType="separate"/>
          </w:r>
          <w:r>
            <w:rPr>
              <w:rFonts w:hint="eastAsia" w:ascii="宋体" w:hAnsi="宋体" w:cs="宋体"/>
              <w:sz w:val="28"/>
              <w:szCs w:val="28"/>
            </w:rPr>
            <w:t>第一章  竞争性磋商公告</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_Toc3380 \h </w:instrText>
          </w:r>
          <w:r>
            <w:rPr>
              <w:rFonts w:hint="eastAsia" w:ascii="宋体" w:hAnsi="宋体" w:cs="宋体"/>
              <w:sz w:val="28"/>
              <w:szCs w:val="28"/>
            </w:rPr>
            <w:fldChar w:fldCharType="separate"/>
          </w:r>
          <w:r>
            <w:rPr>
              <w:rFonts w:hint="eastAsia"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fldChar w:fldCharType="end"/>
          </w:r>
        </w:p>
        <w:p>
          <w:pPr>
            <w:pStyle w:val="121"/>
            <w:tabs>
              <w:tab w:val="right" w:leader="dot" w:pos="8732"/>
            </w:tabs>
            <w:spacing w:line="360" w:lineRule="auto"/>
            <w:rPr>
              <w:rFonts w:ascii="宋体" w:hAnsi="宋体" w:cs="宋体"/>
              <w:sz w:val="28"/>
              <w:szCs w:val="28"/>
            </w:rPr>
          </w:pPr>
          <w:r>
            <w:fldChar w:fldCharType="begin"/>
          </w:r>
          <w:r>
            <w:instrText xml:space="preserve"> HYPERLINK \l "_Toc14739" </w:instrText>
          </w:r>
          <w:r>
            <w:fldChar w:fldCharType="separate"/>
          </w:r>
          <w:r>
            <w:rPr>
              <w:rFonts w:hint="eastAsia" w:ascii="宋体" w:hAnsi="宋体" w:cs="宋体"/>
              <w:sz w:val="28"/>
              <w:szCs w:val="28"/>
              <w:lang w:val="hr-HR"/>
            </w:rPr>
            <w:t>第二章</w:t>
          </w:r>
          <w:r>
            <w:rPr>
              <w:rFonts w:hint="eastAsia" w:ascii="宋体" w:hAnsi="宋体" w:cs="宋体"/>
              <w:sz w:val="28"/>
              <w:szCs w:val="28"/>
            </w:rPr>
            <w:t xml:space="preserve">  磋商须知</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_Toc14739 \h </w:instrText>
          </w:r>
          <w:r>
            <w:rPr>
              <w:rFonts w:hint="eastAsia" w:ascii="宋体" w:hAnsi="宋体" w:cs="宋体"/>
              <w:sz w:val="28"/>
              <w:szCs w:val="28"/>
            </w:rPr>
            <w:fldChar w:fldCharType="separate"/>
          </w:r>
          <w:r>
            <w:rPr>
              <w:rFonts w:hint="eastAsia" w:ascii="宋体" w:hAnsi="宋体" w:cs="宋体"/>
              <w:sz w:val="28"/>
              <w:szCs w:val="28"/>
            </w:rPr>
            <w:t>6</w:t>
          </w:r>
          <w:r>
            <w:rPr>
              <w:rFonts w:hint="eastAsia" w:ascii="宋体" w:hAnsi="宋体" w:cs="宋体"/>
              <w:sz w:val="28"/>
              <w:szCs w:val="28"/>
            </w:rPr>
            <w:fldChar w:fldCharType="end"/>
          </w:r>
          <w:r>
            <w:rPr>
              <w:rFonts w:hint="eastAsia" w:ascii="宋体" w:hAnsi="宋体" w:cs="宋体"/>
              <w:sz w:val="28"/>
              <w:szCs w:val="28"/>
            </w:rPr>
            <w:fldChar w:fldCharType="end"/>
          </w:r>
        </w:p>
        <w:p>
          <w:pPr>
            <w:pStyle w:val="121"/>
            <w:tabs>
              <w:tab w:val="right" w:leader="dot" w:pos="8732"/>
            </w:tabs>
            <w:spacing w:line="360" w:lineRule="auto"/>
            <w:rPr>
              <w:rFonts w:ascii="宋体" w:hAnsi="宋体" w:cs="宋体"/>
              <w:sz w:val="28"/>
              <w:szCs w:val="28"/>
            </w:rPr>
          </w:pPr>
          <w:r>
            <w:fldChar w:fldCharType="begin"/>
          </w:r>
          <w:r>
            <w:instrText xml:space="preserve"> HYPERLINK \l "_Toc8325" </w:instrText>
          </w:r>
          <w:r>
            <w:fldChar w:fldCharType="separate"/>
          </w:r>
          <w:r>
            <w:rPr>
              <w:rFonts w:hint="eastAsia" w:ascii="宋体" w:hAnsi="宋体" w:cs="宋体"/>
              <w:sz w:val="28"/>
              <w:szCs w:val="28"/>
              <w:lang w:bidi="ar"/>
            </w:rPr>
            <w:t>第三章  采购货物（服务）技术规格、参数及要求</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_Toc8325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21"/>
            <w:tabs>
              <w:tab w:val="right" w:leader="dot" w:pos="8732"/>
            </w:tabs>
            <w:spacing w:line="360" w:lineRule="auto"/>
            <w:rPr>
              <w:rFonts w:ascii="宋体" w:hAnsi="宋体" w:cs="宋体"/>
              <w:sz w:val="28"/>
              <w:szCs w:val="28"/>
            </w:rPr>
          </w:pPr>
          <w:r>
            <w:fldChar w:fldCharType="begin"/>
          </w:r>
          <w:r>
            <w:instrText xml:space="preserve"> HYPERLINK \l "_Toc19120" </w:instrText>
          </w:r>
          <w:r>
            <w:fldChar w:fldCharType="separate"/>
          </w:r>
          <w:r>
            <w:rPr>
              <w:rFonts w:hint="eastAsia" w:ascii="宋体" w:hAnsi="宋体" w:cs="宋体"/>
              <w:sz w:val="28"/>
              <w:szCs w:val="28"/>
            </w:rPr>
            <w:t>第四章  评审办法及评分标准</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_Toc19120 \h </w:instrText>
          </w:r>
          <w:r>
            <w:rPr>
              <w:rFonts w:hint="eastAsia" w:ascii="宋体" w:hAnsi="宋体" w:cs="宋体"/>
              <w:sz w:val="28"/>
              <w:szCs w:val="28"/>
            </w:rPr>
            <w:fldChar w:fldCharType="separate"/>
          </w:r>
          <w:r>
            <w:rPr>
              <w:rFonts w:hint="eastAsia" w:ascii="宋体" w:hAnsi="宋体" w:cs="宋体"/>
              <w:sz w:val="28"/>
              <w:szCs w:val="28"/>
            </w:rPr>
            <w:t>15</w:t>
          </w:r>
          <w:r>
            <w:rPr>
              <w:rFonts w:hint="eastAsia" w:ascii="宋体" w:hAnsi="宋体" w:cs="宋体"/>
              <w:sz w:val="28"/>
              <w:szCs w:val="28"/>
            </w:rPr>
            <w:fldChar w:fldCharType="end"/>
          </w:r>
          <w:r>
            <w:rPr>
              <w:rFonts w:hint="eastAsia" w:ascii="宋体" w:hAnsi="宋体" w:cs="宋体"/>
              <w:sz w:val="28"/>
              <w:szCs w:val="28"/>
            </w:rPr>
            <w:fldChar w:fldCharType="end"/>
          </w:r>
        </w:p>
        <w:p>
          <w:pPr>
            <w:pStyle w:val="121"/>
            <w:tabs>
              <w:tab w:val="right" w:leader="dot" w:pos="8732"/>
            </w:tabs>
            <w:spacing w:line="360" w:lineRule="auto"/>
            <w:rPr>
              <w:sz w:val="28"/>
              <w:szCs w:val="28"/>
            </w:rPr>
          </w:pPr>
          <w:r>
            <w:fldChar w:fldCharType="begin"/>
          </w:r>
          <w:r>
            <w:instrText xml:space="preserve"> HYPERLINK \l "_Toc25946" </w:instrText>
          </w:r>
          <w:r>
            <w:fldChar w:fldCharType="separate"/>
          </w:r>
          <w:r>
            <w:rPr>
              <w:rFonts w:hint="eastAsia" w:ascii="宋体" w:hAnsi="宋体" w:cs="宋体"/>
              <w:sz w:val="28"/>
              <w:szCs w:val="28"/>
            </w:rPr>
            <w:t>第五章  合同书</w:t>
          </w:r>
          <w:r>
            <w:rPr>
              <w:rFonts w:hint="eastAsia" w:ascii="宋体" w:hAnsi="宋体" w:cs="宋体"/>
              <w:sz w:val="28"/>
              <w:szCs w:val="28"/>
            </w:rPr>
            <w:tab/>
          </w:r>
          <w:r>
            <w:rPr>
              <w:rFonts w:hint="eastAsia" w:ascii="宋体" w:hAnsi="宋体" w:cs="宋体"/>
              <w:sz w:val="28"/>
              <w:szCs w:val="28"/>
            </w:rPr>
            <w:fldChar w:fldCharType="begin"/>
          </w:r>
          <w:r>
            <w:rPr>
              <w:rFonts w:hint="eastAsia" w:ascii="宋体" w:hAnsi="宋体" w:cs="宋体"/>
              <w:sz w:val="28"/>
              <w:szCs w:val="28"/>
            </w:rPr>
            <w:instrText xml:space="preserve"> PAGEREF _Toc25946 \h </w:instrText>
          </w:r>
          <w:r>
            <w:rPr>
              <w:rFonts w:hint="eastAsia" w:ascii="宋体" w:hAnsi="宋体" w:cs="宋体"/>
              <w:sz w:val="28"/>
              <w:szCs w:val="28"/>
            </w:rPr>
            <w:fldChar w:fldCharType="separate"/>
          </w:r>
          <w:r>
            <w:rPr>
              <w:rFonts w:hint="eastAsia"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fldChar w:fldCharType="end"/>
          </w:r>
        </w:p>
        <w:p>
          <w:pPr>
            <w:pStyle w:val="121"/>
            <w:tabs>
              <w:tab w:val="right" w:leader="dot" w:pos="8732"/>
            </w:tabs>
            <w:spacing w:line="360" w:lineRule="auto"/>
            <w:rPr>
              <w:sz w:val="22"/>
              <w:szCs w:val="22"/>
            </w:rPr>
          </w:pPr>
          <w:r>
            <w:fldChar w:fldCharType="begin"/>
          </w:r>
          <w:r>
            <w:instrText xml:space="preserve"> HYPERLINK \l "_Toc7831" </w:instrText>
          </w:r>
          <w:r>
            <w:fldChar w:fldCharType="separate"/>
          </w:r>
          <w:r>
            <w:rPr>
              <w:sz w:val="28"/>
              <w:szCs w:val="52"/>
            </w:rPr>
            <w:t>第</w:t>
          </w:r>
          <w:r>
            <w:rPr>
              <w:rFonts w:hint="eastAsia"/>
              <w:sz w:val="28"/>
              <w:szCs w:val="52"/>
            </w:rPr>
            <w:t>六</w:t>
          </w:r>
          <w:r>
            <w:rPr>
              <w:sz w:val="28"/>
              <w:szCs w:val="52"/>
            </w:rPr>
            <w:t>章</w:t>
          </w:r>
          <w:r>
            <w:rPr>
              <w:rFonts w:hint="eastAsia"/>
              <w:sz w:val="28"/>
              <w:szCs w:val="52"/>
            </w:rPr>
            <w:t xml:space="preserve">  </w:t>
          </w:r>
          <w:r>
            <w:rPr>
              <w:sz w:val="28"/>
              <w:szCs w:val="52"/>
            </w:rPr>
            <w:t>响应文件格式</w:t>
          </w:r>
          <w:r>
            <w:rPr>
              <w:sz w:val="28"/>
              <w:szCs w:val="28"/>
            </w:rPr>
            <w:tab/>
          </w:r>
          <w:r>
            <w:rPr>
              <w:sz w:val="28"/>
              <w:szCs w:val="28"/>
            </w:rPr>
            <w:fldChar w:fldCharType="begin"/>
          </w:r>
          <w:r>
            <w:rPr>
              <w:sz w:val="28"/>
              <w:szCs w:val="28"/>
            </w:rPr>
            <w:instrText xml:space="preserve"> PAGEREF _Toc7831 \h </w:instrText>
          </w:r>
          <w:r>
            <w:rPr>
              <w:sz w:val="28"/>
              <w:szCs w:val="28"/>
            </w:rPr>
            <w:fldChar w:fldCharType="separate"/>
          </w:r>
          <w:r>
            <w:rPr>
              <w:sz w:val="28"/>
              <w:szCs w:val="28"/>
            </w:rPr>
            <w:t>25</w:t>
          </w:r>
          <w:r>
            <w:rPr>
              <w:sz w:val="28"/>
              <w:szCs w:val="28"/>
            </w:rPr>
            <w:fldChar w:fldCharType="end"/>
          </w:r>
          <w:r>
            <w:rPr>
              <w:sz w:val="28"/>
              <w:szCs w:val="28"/>
            </w:rPr>
            <w:fldChar w:fldCharType="end"/>
          </w:r>
        </w:p>
        <w:p>
          <w:pPr>
            <w:spacing w:line="500" w:lineRule="exact"/>
            <w:ind w:firstLine="3600" w:firstLineChars="1000"/>
            <w:rPr>
              <w:bCs/>
              <w:color w:val="000000" w:themeColor="text1"/>
              <w:sz w:val="36"/>
              <w:szCs w:val="36"/>
              <w14:textFill>
                <w14:solidFill>
                  <w14:schemeClr w14:val="tx1"/>
                </w14:solidFill>
              </w14:textFill>
            </w:rPr>
          </w:pPr>
          <w:r>
            <w:rPr>
              <w:bCs/>
              <w:color w:val="000000" w:themeColor="text1"/>
              <w:sz w:val="36"/>
              <w:szCs w:val="44"/>
              <w14:textFill>
                <w14:solidFill>
                  <w14:schemeClr w14:val="tx1"/>
                </w14:solidFill>
              </w14:textFill>
            </w:rPr>
            <w:fldChar w:fldCharType="end"/>
          </w:r>
        </w:p>
      </w:sdtContent>
    </w:sdt>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ind w:firstLine="3600" w:firstLineChars="1000"/>
        <w:rPr>
          <w:bCs/>
          <w:color w:val="000000" w:themeColor="text1"/>
          <w:sz w:val="36"/>
          <w:szCs w:val="36"/>
          <w14:textFill>
            <w14:solidFill>
              <w14:schemeClr w14:val="tx1"/>
            </w14:solidFill>
          </w14:textFill>
        </w:rPr>
      </w:pPr>
    </w:p>
    <w:p>
      <w:pPr>
        <w:spacing w:line="500" w:lineRule="exact"/>
        <w:rPr>
          <w:bCs/>
          <w:color w:val="000000" w:themeColor="text1"/>
          <w:sz w:val="36"/>
          <w:szCs w:val="36"/>
          <w14:textFill>
            <w14:solidFill>
              <w14:schemeClr w14:val="tx1"/>
            </w14:solidFill>
          </w14:textFill>
        </w:rPr>
        <w:sectPr>
          <w:footerReference r:id="rId4" w:type="default"/>
          <w:pgSz w:w="11906" w:h="16838"/>
          <w:pgMar w:top="1440" w:right="1587" w:bottom="1440" w:left="1587" w:header="851" w:footer="992" w:gutter="0"/>
          <w:pgNumType w:start="1"/>
          <w:cols w:space="425" w:num="1"/>
          <w:docGrid w:type="lines" w:linePitch="312" w:charSpace="0"/>
        </w:sectPr>
      </w:pPr>
    </w:p>
    <w:p>
      <w:pPr>
        <w:snapToGrid w:val="0"/>
        <w:spacing w:after="468" w:afterLines="150"/>
        <w:jc w:val="center"/>
        <w:outlineLvl w:val="0"/>
        <w:rPr>
          <w:b/>
          <w:color w:val="000000" w:themeColor="text1"/>
          <w:sz w:val="36"/>
          <w:szCs w:val="36"/>
          <w14:textFill>
            <w14:solidFill>
              <w14:schemeClr w14:val="tx1"/>
            </w14:solidFill>
          </w14:textFill>
        </w:rPr>
      </w:pPr>
      <w:bookmarkStart w:id="0" w:name="_Toc12938"/>
      <w:bookmarkStart w:id="1" w:name="_Toc3380"/>
      <w:r>
        <w:rPr>
          <w:b/>
          <w:color w:val="000000" w:themeColor="text1"/>
          <w:sz w:val="36"/>
          <w:szCs w:val="36"/>
          <w14:textFill>
            <w14:solidFill>
              <w14:schemeClr w14:val="tx1"/>
            </w14:solidFill>
          </w14:textFill>
        </w:rPr>
        <w:t>第一章</w:t>
      </w:r>
      <w:r>
        <w:rPr>
          <w:rFonts w:hint="eastAsia"/>
          <w:b/>
          <w:color w:val="000000" w:themeColor="text1"/>
          <w:sz w:val="36"/>
          <w:szCs w:val="36"/>
          <w14:textFill>
            <w14:solidFill>
              <w14:schemeClr w14:val="tx1"/>
            </w14:solidFill>
          </w14:textFill>
        </w:rPr>
        <w:t xml:space="preserve">  </w:t>
      </w:r>
      <w:bookmarkEnd w:id="0"/>
      <w:r>
        <w:rPr>
          <w:rFonts w:hint="eastAsia"/>
          <w:b/>
          <w:color w:val="000000" w:themeColor="text1"/>
          <w:sz w:val="36"/>
          <w:szCs w:val="36"/>
          <w14:textFill>
            <w14:solidFill>
              <w14:schemeClr w14:val="tx1"/>
            </w14:solidFill>
          </w14:textFill>
        </w:rPr>
        <w:t>竞争性磋商公告</w:t>
      </w:r>
      <w:bookmarkEnd w:id="1"/>
    </w:p>
    <w:tbl>
      <w:tblPr>
        <w:tblStyle w:val="30"/>
        <w:tblW w:w="923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234" w:type="dxa"/>
            <w:vAlign w:val="center"/>
          </w:tcPr>
          <w:p>
            <w:pPr>
              <w:pStyle w:val="25"/>
              <w:widowControl/>
              <w:spacing w:beforeAutospacing="0" w:afterAutospacing="0" w:line="360" w:lineRule="exact"/>
              <w:ind w:firstLine="480" w:firstLineChars="200"/>
              <w:rPr>
                <w:rFonts w:ascii="宋体" w:hAnsi="宋体" w:cs="宋体"/>
                <w:szCs w:val="24"/>
                <w:shd w:val="clear" w:color="auto" w:fill="FFFFFF"/>
              </w:rPr>
            </w:pPr>
            <w:r>
              <w:rPr>
                <w:rFonts w:hint="eastAsia" w:ascii="宋体" w:hAnsi="宋体" w:cs="宋体"/>
                <w:szCs w:val="24"/>
                <w:shd w:val="clear" w:color="auto" w:fill="FFFFFF"/>
              </w:rPr>
              <w:t>阳新县洋港镇崩山村关停煤矿地下水综合治理项目专项水文地质勘察服务项目</w:t>
            </w:r>
            <w:r>
              <w:rPr>
                <w:rFonts w:hint="eastAsia" w:ascii="Calibri" w:hAnsi="Calibri"/>
                <w:color w:val="000000" w:themeColor="text1"/>
                <w:kern w:val="2"/>
                <w:szCs w:val="24"/>
                <w:lang w:val="hr-HR"/>
                <w14:textFill>
                  <w14:solidFill>
                    <w14:schemeClr w14:val="tx1"/>
                  </w14:solidFill>
                </w14:textFill>
              </w:rPr>
              <w:t>潜在投标人可在 “湖北省政府采购网”、“黄石公共资源交易信息网”及“阳新县人民政府网”点击本公告中的链接下载获取招标文件，并于</w:t>
            </w:r>
            <w:r>
              <w:rPr>
                <w:rFonts w:hint="eastAsia" w:ascii="Calibri" w:hAnsi="Calibri"/>
                <w:color w:val="000000" w:themeColor="text1"/>
                <w:kern w:val="2"/>
                <w:szCs w:val="24"/>
                <w14:textFill>
                  <w14:solidFill>
                    <w14:schemeClr w14:val="tx1"/>
                  </w14:solidFill>
                </w14:textFill>
              </w:rPr>
              <w:t>2022</w:t>
            </w:r>
            <w:r>
              <w:rPr>
                <w:rFonts w:hint="eastAsia" w:ascii="Calibri" w:hAnsi="Calibri"/>
                <w:color w:val="000000" w:themeColor="text1"/>
                <w:kern w:val="2"/>
                <w:szCs w:val="24"/>
                <w:lang w:val="hr-HR"/>
                <w14:textFill>
                  <w14:solidFill>
                    <w14:schemeClr w14:val="tx1"/>
                  </w14:solidFill>
                </w14:textFill>
              </w:rPr>
              <w:t>年</w:t>
            </w:r>
            <w:r>
              <w:rPr>
                <w:rFonts w:hint="eastAsia" w:ascii="Calibri" w:hAnsi="Calibri"/>
                <w:color w:val="000000" w:themeColor="text1"/>
                <w:kern w:val="2"/>
                <w:szCs w:val="24"/>
                <w:lang w:val="en-US" w:eastAsia="zh-CN"/>
                <w14:textFill>
                  <w14:solidFill>
                    <w14:schemeClr w14:val="tx1"/>
                  </w14:solidFill>
                </w14:textFill>
              </w:rPr>
              <w:t>7</w:t>
            </w:r>
            <w:r>
              <w:rPr>
                <w:rFonts w:hint="eastAsia" w:ascii="Calibri" w:hAnsi="Calibri"/>
                <w:color w:val="000000" w:themeColor="text1"/>
                <w:kern w:val="2"/>
                <w:szCs w:val="24"/>
                <w:lang w:val="hr-HR"/>
                <w14:textFill>
                  <w14:solidFill>
                    <w14:schemeClr w14:val="tx1"/>
                  </w14:solidFill>
                </w14:textFill>
              </w:rPr>
              <w:t>月</w:t>
            </w:r>
            <w:r>
              <w:rPr>
                <w:rFonts w:hint="eastAsia" w:ascii="Calibri" w:hAnsi="Calibri"/>
                <w:color w:val="000000" w:themeColor="text1"/>
                <w:kern w:val="2"/>
                <w:szCs w:val="24"/>
                <w:lang w:val="en-US" w:eastAsia="zh-CN"/>
                <w14:textFill>
                  <w14:solidFill>
                    <w14:schemeClr w14:val="tx1"/>
                  </w14:solidFill>
                </w14:textFill>
              </w:rPr>
              <w:t>22</w:t>
            </w:r>
            <w:r>
              <w:rPr>
                <w:rFonts w:hint="eastAsia" w:ascii="Calibri" w:hAnsi="Calibri"/>
                <w:color w:val="000000" w:themeColor="text1"/>
                <w:kern w:val="2"/>
                <w:szCs w:val="24"/>
                <w:lang w:val="hr-HR"/>
                <w14:textFill>
                  <w14:solidFill>
                    <w14:schemeClr w14:val="tx1"/>
                  </w14:solidFill>
                </w14:textFill>
              </w:rPr>
              <w:t>日</w:t>
            </w:r>
            <w:r>
              <w:rPr>
                <w:rFonts w:hint="eastAsia" w:ascii="Calibri" w:hAnsi="Calibri"/>
                <w:color w:val="000000" w:themeColor="text1"/>
                <w:kern w:val="2"/>
                <w:szCs w:val="24"/>
                <w14:textFill>
                  <w14:solidFill>
                    <w14:schemeClr w14:val="tx1"/>
                  </w14:solidFill>
                </w14:textFill>
              </w:rPr>
              <w:t>9</w:t>
            </w:r>
            <w:r>
              <w:rPr>
                <w:rFonts w:hint="eastAsia" w:ascii="Calibri" w:hAnsi="Calibri"/>
                <w:color w:val="000000" w:themeColor="text1"/>
                <w:kern w:val="2"/>
                <w:szCs w:val="24"/>
                <w:lang w:val="hr-HR"/>
                <w14:textFill>
                  <w14:solidFill>
                    <w14:schemeClr w14:val="tx1"/>
                  </w14:solidFill>
                </w14:textFill>
              </w:rPr>
              <w:t>点</w:t>
            </w:r>
            <w:r>
              <w:rPr>
                <w:rFonts w:hint="eastAsia" w:ascii="Calibri" w:hAnsi="Calibri"/>
                <w:color w:val="000000" w:themeColor="text1"/>
                <w:kern w:val="2"/>
                <w:szCs w:val="24"/>
                <w14:textFill>
                  <w14:solidFill>
                    <w14:schemeClr w14:val="tx1"/>
                  </w14:solidFill>
                </w14:textFill>
              </w:rPr>
              <w:t>00</w:t>
            </w:r>
            <w:r>
              <w:rPr>
                <w:rFonts w:hint="eastAsia" w:ascii="Calibri" w:hAnsi="Calibri"/>
                <w:color w:val="000000" w:themeColor="text1"/>
                <w:kern w:val="2"/>
                <w:szCs w:val="24"/>
                <w:lang w:val="hr-HR"/>
                <w14:textFill>
                  <w14:solidFill>
                    <w14:schemeClr w14:val="tx1"/>
                  </w14:solidFill>
                </w14:textFill>
              </w:rPr>
              <w:t>分（北京时间）前递交投标文件。</w:t>
            </w:r>
          </w:p>
        </w:tc>
      </w:tr>
    </w:tbl>
    <w:p>
      <w:pPr>
        <w:pStyle w:val="25"/>
        <w:widowControl/>
        <w:spacing w:beforeAutospacing="0" w:afterAutospacing="0" w:line="360" w:lineRule="exact"/>
        <w:ind w:firstLine="480"/>
        <w:rPr>
          <w:rFonts w:ascii="宋体" w:hAnsi="宋体" w:cs="宋体"/>
          <w:b/>
          <w:bCs/>
          <w:szCs w:val="24"/>
          <w:shd w:val="clear" w:color="auto" w:fill="FFFFFF"/>
        </w:rPr>
      </w:pPr>
      <w:r>
        <w:rPr>
          <w:rFonts w:hint="eastAsia" w:ascii="宋体" w:hAnsi="宋体" w:cs="宋体"/>
          <w:b/>
          <w:bCs/>
          <w:szCs w:val="24"/>
          <w:shd w:val="clear" w:color="auto" w:fill="FFFFFF"/>
        </w:rPr>
        <w:t>一、项目基本情况</w:t>
      </w:r>
    </w:p>
    <w:p>
      <w:pPr>
        <w:pStyle w:val="25"/>
        <w:widowControl/>
        <w:spacing w:beforeAutospacing="0" w:afterAutospacing="0" w:line="360" w:lineRule="exact"/>
        <w:ind w:firstLine="480"/>
        <w:rPr>
          <w:rFonts w:hint="default" w:ascii="宋体" w:hAnsi="宋体" w:eastAsia="宋体" w:cs="宋体"/>
          <w:szCs w:val="24"/>
          <w:shd w:val="clear" w:color="auto" w:fill="FFFFFF"/>
          <w:lang w:val="en-US" w:eastAsia="zh-CN"/>
        </w:rPr>
      </w:pPr>
      <w:r>
        <w:rPr>
          <w:rFonts w:hint="eastAsia" w:ascii="宋体" w:hAnsi="宋体" w:cs="宋体"/>
          <w:szCs w:val="24"/>
          <w:shd w:val="clear" w:color="auto" w:fill="FFFFFF"/>
        </w:rPr>
        <w:t>1、项目编号：131-2022CG-</w:t>
      </w:r>
      <w:r>
        <w:rPr>
          <w:rFonts w:hint="eastAsia" w:ascii="宋体" w:hAnsi="宋体" w:cs="宋体"/>
          <w:szCs w:val="24"/>
          <w:shd w:val="clear" w:color="auto" w:fill="FFFFFF"/>
          <w:lang w:val="en-US" w:eastAsia="zh-CN"/>
        </w:rPr>
        <w:t>144</w:t>
      </w:r>
    </w:p>
    <w:p>
      <w:pPr>
        <w:pStyle w:val="25"/>
        <w:widowControl/>
        <w:spacing w:beforeAutospacing="0" w:afterAutospacing="0" w:line="360" w:lineRule="exact"/>
        <w:ind w:firstLine="480"/>
        <w:rPr>
          <w:rFonts w:ascii="宋体" w:hAnsi="宋体" w:cs="宋体"/>
          <w:szCs w:val="24"/>
          <w:shd w:val="clear" w:color="auto" w:fill="FFFFFF"/>
        </w:rPr>
      </w:pPr>
      <w:r>
        <w:rPr>
          <w:rFonts w:hint="eastAsia" w:ascii="宋体" w:hAnsi="宋体" w:cs="宋体"/>
          <w:szCs w:val="24"/>
          <w:shd w:val="clear" w:color="auto" w:fill="FFFFFF"/>
        </w:rPr>
        <w:t>2、政府采购计划编号：阳财采计备[2022]</w:t>
      </w:r>
      <w:r>
        <w:rPr>
          <w:rFonts w:hint="eastAsia" w:ascii="宋体" w:hAnsi="宋体" w:cs="宋体"/>
          <w:szCs w:val="24"/>
          <w:shd w:val="clear" w:color="auto" w:fill="FFFFFF"/>
          <w:lang w:val="en-US" w:eastAsia="zh-CN"/>
        </w:rPr>
        <w:t>C0609</w:t>
      </w:r>
      <w:r>
        <w:rPr>
          <w:rFonts w:hint="eastAsia" w:ascii="宋体" w:hAnsi="宋体" w:cs="宋体"/>
          <w:szCs w:val="24"/>
          <w:shd w:val="clear" w:color="auto" w:fill="FFFFFF"/>
        </w:rPr>
        <w:t>号</w:t>
      </w:r>
    </w:p>
    <w:p>
      <w:pPr>
        <w:pStyle w:val="25"/>
        <w:widowControl/>
        <w:spacing w:beforeAutospacing="0" w:afterAutospacing="0" w:line="360" w:lineRule="exact"/>
        <w:ind w:firstLine="480"/>
        <w:rPr>
          <w:rFonts w:ascii="宋体" w:hAnsi="宋体" w:cs="宋体"/>
          <w:szCs w:val="24"/>
          <w:shd w:val="clear" w:color="auto" w:fill="FFFFFF"/>
        </w:rPr>
      </w:pPr>
      <w:r>
        <w:rPr>
          <w:rFonts w:hint="eastAsia" w:ascii="宋体" w:hAnsi="宋体" w:cs="宋体"/>
          <w:szCs w:val="24"/>
          <w:shd w:val="clear" w:color="auto" w:fill="FFFFFF"/>
        </w:rPr>
        <w:t>3、项目名称：阳新县洋港镇崩山村关停煤矿地下水综合治理项目专项水文地质勘察服务项目</w:t>
      </w:r>
    </w:p>
    <w:p>
      <w:pPr>
        <w:pStyle w:val="25"/>
        <w:widowControl/>
        <w:spacing w:beforeAutospacing="0" w:afterAutospacing="0" w:line="360" w:lineRule="exact"/>
        <w:ind w:firstLine="480"/>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4、预算金额：120万元（超过此报价为无效投标）</w:t>
      </w:r>
    </w:p>
    <w:p>
      <w:pPr>
        <w:pStyle w:val="25"/>
        <w:widowControl/>
        <w:spacing w:beforeAutospacing="0" w:afterAutospacing="0" w:line="360" w:lineRule="exact"/>
        <w:ind w:firstLine="480"/>
        <w:rPr>
          <w:rFonts w:ascii="宋体" w:hAnsi="宋体" w:cs="宋体"/>
          <w:color w:val="000000" w:themeColor="text1"/>
          <w:szCs w:val="24"/>
          <w:shd w:val="clear" w:color="auto" w:fill="FFFFFF"/>
          <w14:textFill>
            <w14:solidFill>
              <w14:schemeClr w14:val="tx1"/>
            </w14:solidFill>
          </w14:textFill>
        </w:rPr>
      </w:pPr>
      <w:r>
        <w:rPr>
          <w:rFonts w:hint="eastAsia" w:ascii="宋体" w:hAnsi="宋体" w:cs="宋体"/>
          <w:color w:val="000000" w:themeColor="text1"/>
          <w:szCs w:val="24"/>
          <w:shd w:val="clear" w:color="auto" w:fill="FFFFFF"/>
          <w14:textFill>
            <w14:solidFill>
              <w14:schemeClr w14:val="tx1"/>
            </w14:solidFill>
          </w14:textFill>
        </w:rPr>
        <w:t>5、采购方式：竞争性磋商</w:t>
      </w:r>
    </w:p>
    <w:p>
      <w:pPr>
        <w:pStyle w:val="25"/>
        <w:widowControl/>
        <w:spacing w:beforeAutospacing="0" w:afterAutospacing="0" w:line="360" w:lineRule="exact"/>
        <w:ind w:left="783" w:leftChars="170" w:hanging="307" w:hangingChars="128"/>
        <w:rPr>
          <w:color w:val="000000" w:themeColor="text1"/>
          <w:szCs w:val="24"/>
          <w14:textFill>
            <w14:solidFill>
              <w14:schemeClr w14:val="tx1"/>
            </w14:solidFill>
          </w14:textFill>
        </w:rPr>
      </w:pPr>
      <w:r>
        <w:rPr>
          <w:rFonts w:ascii="宋体" w:hAnsi="宋体" w:cs="宋体"/>
          <w:color w:val="000000" w:themeColor="text1"/>
          <w:szCs w:val="24"/>
          <w:shd w:val="clear" w:color="auto" w:fill="FFFFFF"/>
          <w14:textFill>
            <w14:solidFill>
              <w14:schemeClr w14:val="tx1"/>
            </w14:solidFill>
          </w14:textFill>
        </w:rPr>
        <w:t>6、采购内容：</w:t>
      </w:r>
      <w:r>
        <w:rPr>
          <w:rFonts w:hint="eastAsia" w:eastAsiaTheme="minorEastAsia"/>
          <w:bCs/>
          <w:color w:val="000000" w:themeColor="text1"/>
          <w:szCs w:val="24"/>
          <w:lang w:val="zh-CN"/>
          <w14:textFill>
            <w14:solidFill>
              <w14:schemeClr w14:val="tx1"/>
            </w14:solidFill>
          </w14:textFill>
        </w:rPr>
        <w:t>以阳新县洋港镇崩山村关停煤矿完整水文地质单元为对象，开展水文地质勘察、地下水环境状况补充调查和风险评估等，编制地下水环境现状补充调查和风险评估报告，通过环保部门组织的专家评审。</w:t>
      </w:r>
      <w:r>
        <w:rPr>
          <w:rFonts w:hint="eastAsia" w:ascii="宋体" w:hAnsi="宋体" w:cs="宋体"/>
          <w:color w:val="000000" w:themeColor="text1"/>
          <w:szCs w:val="24"/>
          <w:shd w:val="clear" w:color="auto" w:fill="FFFFFF"/>
          <w14:textFill>
            <w14:solidFill>
              <w14:schemeClr w14:val="tx1"/>
            </w14:solidFill>
          </w14:textFill>
        </w:rPr>
        <w:t>（详见采购文件第三章采购需求）。</w:t>
      </w:r>
    </w:p>
    <w:p>
      <w:pPr>
        <w:pStyle w:val="25"/>
        <w:widowControl/>
        <w:spacing w:beforeAutospacing="0" w:afterAutospacing="0" w:line="360" w:lineRule="exact"/>
        <w:ind w:firstLine="480"/>
        <w:rPr>
          <w:color w:val="000000" w:themeColor="text1"/>
          <w:szCs w:val="24"/>
          <w14:textFill>
            <w14:solidFill>
              <w14:schemeClr w14:val="tx1"/>
            </w14:solidFill>
          </w14:textFill>
        </w:rPr>
      </w:pPr>
      <w:r>
        <w:rPr>
          <w:rFonts w:hint="eastAsia" w:ascii="宋体" w:hAnsi="宋体" w:cs="宋体"/>
          <w:color w:val="000000" w:themeColor="text1"/>
          <w:szCs w:val="24"/>
          <w:lang w:bidi="ar"/>
          <w14:textFill>
            <w14:solidFill>
              <w14:schemeClr w14:val="tx1"/>
            </w14:solidFill>
          </w14:textFill>
        </w:rPr>
        <w:t xml:space="preserve">7、合同履行期限：90日历天 </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8、本项目（是/否）接受联合体：是。</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szCs w:val="24"/>
          <w:shd w:val="clear" w:color="auto" w:fill="FFFFFF"/>
        </w:rPr>
        <w:t>9、是否可采购进口产品：否</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szCs w:val="24"/>
          <w:shd w:val="clear" w:color="auto" w:fill="FFFFFF"/>
        </w:rPr>
        <w:t>10、本项目（是/否）专门面向中小微企业：是</w:t>
      </w:r>
    </w:p>
    <w:p>
      <w:pPr>
        <w:pStyle w:val="25"/>
        <w:widowControl/>
        <w:spacing w:beforeAutospacing="0" w:afterAutospacing="0" w:line="360" w:lineRule="exact"/>
        <w:ind w:firstLine="482" w:firstLineChars="200"/>
        <w:rPr>
          <w:b/>
          <w:bCs/>
          <w:szCs w:val="24"/>
        </w:rPr>
      </w:pPr>
      <w:r>
        <w:rPr>
          <w:rStyle w:val="32"/>
          <w:rFonts w:hint="eastAsia" w:ascii="宋体" w:hAnsi="宋体" w:cs="宋体"/>
          <w:color w:val="333333"/>
          <w:szCs w:val="24"/>
          <w:shd w:val="clear" w:color="auto" w:fill="FFFFFF"/>
        </w:rPr>
        <w:t>二、申请人的资格要求：</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1、满足《中华人民共和国政府采购法》第二十二条规定，即：</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（1）具有独立承担民事责任的能力；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（2）具有良好的商业信誉和健全的财务会计制度；</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（3）具有履行合同所必需的设备和专业技术能力；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（4）有依法缴纳税收和社会保障资金的良好记录；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（5）参加政府采购活动前三年内，在经营活动中没有重大违法记录；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（6）法律、行政法规规定的其他条件。</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2、单位负责人为同一人或者存在直接控股、管理关系的不同投标人，不得参加本项目同一合同项下的政府采购活动。</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3、未被列入失信被执行人、税收违法黑名单，未被列入政府采购严重违法失信行为记录名单。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4、落实政府采购政策需满足的资格要求：本项目专门面向中小企业采购，供应商应为符合《政府采购促进中小企业发展管理办法》（财库〔2020〕46号）规定的中小企业，提供中小企业声明函。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5、本项目的特定资格要求：</w:t>
      </w:r>
    </w:p>
    <w:p>
      <w:pPr>
        <w:adjustRightInd w:val="0"/>
        <w:snapToGrid w:val="0"/>
        <w:spacing w:line="360" w:lineRule="auto"/>
        <w:ind w:firstLine="480" w:firstLineChars="200"/>
        <w:rPr>
          <w:rFonts w:ascii="宋体" w:hAnsi="宋体" w:cs="宋体"/>
          <w:color w:val="auto"/>
          <w:sz w:val="24"/>
          <w:shd w:val="clear" w:color="auto" w:fill="FFFFFF"/>
          <w:lang w:val="zh-CN"/>
        </w:rPr>
      </w:pPr>
      <w:r>
        <w:rPr>
          <w:rFonts w:hint="eastAsia" w:ascii="宋体" w:hAnsi="宋体" w:cs="宋体"/>
          <w:bCs/>
          <w:color w:val="FF0000"/>
          <w:sz w:val="24"/>
        </w:rPr>
        <w:t>本次采购接受联合体投标，</w:t>
      </w:r>
      <w:r>
        <w:rPr>
          <w:rFonts w:hint="eastAsia" w:ascii="宋体" w:hAnsi="宋体"/>
          <w:color w:val="FF0000"/>
          <w:spacing w:val="-2"/>
          <w:szCs w:val="21"/>
        </w:rPr>
        <w:t>如供应商为联合体投标，则联合体成员均须满足申请人的资格要求，且组成联合体成员不超过</w:t>
      </w:r>
      <w:r>
        <w:rPr>
          <w:rFonts w:ascii="宋体" w:hAnsi="宋体"/>
          <w:color w:val="FF0000"/>
          <w:spacing w:val="-2"/>
          <w:szCs w:val="21"/>
        </w:rPr>
        <w:t>2家。</w:t>
      </w:r>
    </w:p>
    <w:p>
      <w:pPr>
        <w:pStyle w:val="25"/>
        <w:widowControl/>
        <w:spacing w:beforeAutospacing="0" w:afterAutospacing="0" w:line="360" w:lineRule="exact"/>
        <w:ind w:firstLine="482" w:firstLineChars="20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三、获取采购文件</w:t>
      </w:r>
    </w:p>
    <w:p>
      <w:pPr>
        <w:pStyle w:val="25"/>
        <w:widowControl/>
        <w:snapToGrid w:val="0"/>
        <w:spacing w:beforeAutospacing="0" w:afterAutospacing="0" w:line="288" w:lineRule="auto"/>
        <w:ind w:left="330" w:right="330" w:firstLine="480" w:firstLineChars="200"/>
        <w:jc w:val="both"/>
        <w:rPr>
          <w:rFonts w:ascii="宋体" w:hAnsi="宋体" w:eastAsiaTheme="minorEastAsia"/>
          <w:color w:val="auto"/>
          <w:szCs w:val="24"/>
          <w:highlight w:val="none"/>
        </w:rPr>
      </w:pPr>
      <w:r>
        <w:rPr>
          <w:rFonts w:hint="eastAsia" w:ascii="宋体" w:hAnsi="宋体"/>
          <w:szCs w:val="24"/>
        </w:rPr>
        <w:t>本项目实行网上下载标书，招标文件与本招标公告同时</w:t>
      </w:r>
      <w:r>
        <w:rPr>
          <w:rFonts w:hint="eastAsia"/>
          <w:szCs w:val="24"/>
        </w:rPr>
        <w:t>在“湖北省政府采购网”、“黄石市公共资源交易信息网”及“阳新县人民政府网”</w:t>
      </w:r>
      <w:r>
        <w:rPr>
          <w:rFonts w:hint="eastAsia" w:ascii="宋体" w:hAnsi="宋体"/>
          <w:szCs w:val="24"/>
        </w:rPr>
        <w:t>发布（见招标文件下载），凡自愿参加本项目投标者，请于</w:t>
      </w:r>
      <w:r>
        <w:rPr>
          <w:rFonts w:hint="eastAsia" w:ascii="宋体" w:hAnsi="宋体"/>
          <w:color w:val="auto"/>
          <w:szCs w:val="24"/>
          <w:highlight w:val="none"/>
        </w:rPr>
        <w:t>2022年</w:t>
      </w:r>
      <w:r>
        <w:rPr>
          <w:rFonts w:hint="eastAsia" w:ascii="宋体" w:hAnsi="宋体"/>
          <w:color w:val="auto"/>
          <w:szCs w:val="24"/>
          <w:highlight w:val="none"/>
          <w:lang w:val="en-US" w:eastAsia="zh-CN"/>
        </w:rPr>
        <w:t>7</w:t>
      </w:r>
      <w:r>
        <w:rPr>
          <w:rFonts w:hint="eastAsia" w:ascii="宋体" w:hAnsi="宋体"/>
          <w:color w:val="auto"/>
          <w:szCs w:val="24"/>
          <w:highlight w:val="none"/>
        </w:rPr>
        <w:t>月</w:t>
      </w:r>
      <w:r>
        <w:rPr>
          <w:rFonts w:hint="eastAsia" w:ascii="宋体" w:hAnsi="宋体"/>
          <w:color w:val="auto"/>
          <w:szCs w:val="24"/>
          <w:highlight w:val="none"/>
          <w:lang w:val="en-US" w:eastAsia="zh-CN"/>
        </w:rPr>
        <w:t>8</w:t>
      </w:r>
      <w:r>
        <w:rPr>
          <w:rFonts w:hint="eastAsia" w:ascii="宋体" w:hAnsi="宋体"/>
          <w:color w:val="auto"/>
          <w:szCs w:val="24"/>
          <w:highlight w:val="none"/>
        </w:rPr>
        <w:t>日至2022年</w:t>
      </w:r>
      <w:r>
        <w:rPr>
          <w:rFonts w:hint="eastAsia" w:ascii="宋体" w:hAnsi="宋体"/>
          <w:color w:val="auto"/>
          <w:szCs w:val="24"/>
          <w:highlight w:val="none"/>
          <w:lang w:val="en-US" w:eastAsia="zh-CN"/>
        </w:rPr>
        <w:t>7</w:t>
      </w:r>
      <w:r>
        <w:rPr>
          <w:rFonts w:hint="eastAsia" w:ascii="宋体" w:hAnsi="宋体"/>
          <w:color w:val="auto"/>
          <w:szCs w:val="24"/>
          <w:highlight w:val="none"/>
        </w:rPr>
        <w:t>月</w:t>
      </w:r>
      <w:r>
        <w:rPr>
          <w:rFonts w:hint="eastAsia" w:ascii="宋体" w:hAnsi="宋体"/>
          <w:color w:val="auto"/>
          <w:szCs w:val="24"/>
          <w:highlight w:val="none"/>
          <w:lang w:val="en-US" w:eastAsia="zh-CN"/>
        </w:rPr>
        <w:t>15</w:t>
      </w:r>
      <w:bookmarkStart w:id="38" w:name="_GoBack"/>
      <w:bookmarkEnd w:id="38"/>
      <w:r>
        <w:rPr>
          <w:rFonts w:hint="eastAsia" w:ascii="宋体" w:hAnsi="宋体"/>
          <w:color w:val="auto"/>
          <w:szCs w:val="24"/>
          <w:highlight w:val="none"/>
        </w:rPr>
        <w:t>日17时30分前点击项目招标公告中的链接下载招标文件，并在投标截止时间前递交投标文件。</w:t>
      </w:r>
    </w:p>
    <w:p>
      <w:pPr>
        <w:pStyle w:val="25"/>
        <w:widowControl/>
        <w:spacing w:beforeAutospacing="0" w:afterAutospacing="0" w:line="360" w:lineRule="exact"/>
        <w:ind w:firstLine="42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四、响应文件提交</w:t>
      </w:r>
    </w:p>
    <w:p>
      <w:pPr>
        <w:pStyle w:val="25"/>
        <w:widowControl/>
        <w:spacing w:beforeAutospacing="0" w:afterAutospacing="0" w:line="360" w:lineRule="exact"/>
        <w:ind w:firstLine="420"/>
        <w:rPr>
          <w:rFonts w:ascii="宋体" w:hAnsi="宋体" w:cs="宋体"/>
          <w:color w:val="333333"/>
          <w:szCs w:val="24"/>
          <w:shd w:val="clear" w:color="auto" w:fill="FFFFFF"/>
        </w:rPr>
      </w:pPr>
      <w:r>
        <w:rPr>
          <w:rFonts w:hint="eastAsia" w:ascii="宋体" w:hAnsi="宋体" w:cs="宋体"/>
          <w:color w:val="333333"/>
          <w:szCs w:val="24"/>
          <w:shd w:val="clear" w:color="auto" w:fill="FFFFFF"/>
        </w:rPr>
        <w:t>1、开始时间：2022年</w:t>
      </w:r>
      <w:r>
        <w:rPr>
          <w:rFonts w:hint="eastAsia" w:ascii="宋体" w:hAnsi="宋体" w:cs="宋体"/>
          <w:color w:val="333333"/>
          <w:szCs w:val="24"/>
          <w:shd w:val="clear" w:color="auto" w:fill="FFFFFF"/>
          <w:lang w:val="en-US" w:eastAsia="zh-CN"/>
        </w:rPr>
        <w:t>7</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22</w:t>
      </w:r>
      <w:r>
        <w:rPr>
          <w:rFonts w:hint="eastAsia" w:ascii="宋体" w:hAnsi="宋体" w:cs="宋体"/>
          <w:color w:val="333333"/>
          <w:szCs w:val="24"/>
          <w:shd w:val="clear" w:color="auto" w:fill="FFFFFF"/>
        </w:rPr>
        <w:t>日8点30分（北京时间）</w:t>
      </w:r>
    </w:p>
    <w:p>
      <w:pPr>
        <w:pStyle w:val="25"/>
        <w:widowControl/>
        <w:spacing w:beforeAutospacing="0" w:afterAutospacing="0" w:line="360" w:lineRule="exact"/>
        <w:ind w:firstLine="420"/>
        <w:rPr>
          <w:rFonts w:ascii="宋体" w:hAnsi="宋体" w:cs="宋体"/>
          <w:color w:val="333333"/>
          <w:szCs w:val="24"/>
          <w:shd w:val="clear" w:color="auto" w:fill="FFFFFF"/>
        </w:rPr>
      </w:pPr>
      <w:r>
        <w:rPr>
          <w:rFonts w:hint="eastAsia" w:ascii="宋体" w:hAnsi="宋体" w:cs="宋体"/>
          <w:color w:val="333333"/>
          <w:szCs w:val="24"/>
          <w:shd w:val="clear" w:color="auto" w:fill="FFFFFF"/>
        </w:rPr>
        <w:t>2、截止时间：2022年</w:t>
      </w:r>
      <w:r>
        <w:rPr>
          <w:rFonts w:hint="eastAsia" w:ascii="宋体" w:hAnsi="宋体" w:cs="宋体"/>
          <w:color w:val="333333"/>
          <w:szCs w:val="24"/>
          <w:shd w:val="clear" w:color="auto" w:fill="FFFFFF"/>
          <w:lang w:val="en-US" w:eastAsia="zh-CN"/>
        </w:rPr>
        <w:t>7</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22</w:t>
      </w:r>
      <w:r>
        <w:rPr>
          <w:rFonts w:hint="eastAsia" w:ascii="宋体" w:hAnsi="宋体" w:cs="宋体"/>
          <w:color w:val="333333"/>
          <w:szCs w:val="24"/>
          <w:shd w:val="clear" w:color="auto" w:fill="FFFFFF"/>
        </w:rPr>
        <w:t xml:space="preserve"> 日9点00分（北京时间）</w:t>
      </w:r>
    </w:p>
    <w:p>
      <w:pPr>
        <w:pStyle w:val="25"/>
        <w:widowControl/>
        <w:spacing w:beforeAutospacing="0" w:afterAutospacing="0" w:line="360" w:lineRule="exact"/>
        <w:ind w:firstLine="420"/>
        <w:rPr>
          <w:rFonts w:ascii="宋体" w:hAnsi="宋体" w:cs="宋体"/>
          <w:color w:val="333333"/>
          <w:szCs w:val="24"/>
          <w:highlight w:val="none"/>
          <w:shd w:val="clear" w:color="auto" w:fill="FFFFFF"/>
        </w:rPr>
      </w:pPr>
      <w:r>
        <w:rPr>
          <w:rFonts w:hint="eastAsia" w:ascii="宋体" w:hAnsi="宋体" w:cs="宋体"/>
          <w:color w:val="333333"/>
          <w:szCs w:val="24"/>
          <w:shd w:val="clear" w:color="auto" w:fill="FFFFFF"/>
        </w:rPr>
        <w:t>3、地点：阳新县公共资源交易中心</w:t>
      </w:r>
      <w:r>
        <w:rPr>
          <w:rFonts w:hint="eastAsia" w:ascii="宋体" w:hAnsi="宋体" w:cs="宋体"/>
          <w:color w:val="333333"/>
          <w:szCs w:val="24"/>
          <w:shd w:val="clear" w:color="auto" w:fill="FFFFFF"/>
          <w:lang w:val="en-US" w:eastAsia="zh-CN"/>
        </w:rPr>
        <w:t>一</w:t>
      </w:r>
      <w:r>
        <w:rPr>
          <w:rFonts w:hint="eastAsia" w:ascii="宋体" w:hAnsi="宋体" w:cs="宋体"/>
          <w:color w:val="333333"/>
          <w:szCs w:val="24"/>
          <w:shd w:val="clear" w:color="auto" w:fill="FFFFFF"/>
        </w:rPr>
        <w:t>楼</w:t>
      </w:r>
      <w:r>
        <w:rPr>
          <w:rFonts w:hint="eastAsia" w:ascii="宋体" w:hAnsi="宋体" w:cs="宋体"/>
          <w:color w:val="333333"/>
          <w:szCs w:val="24"/>
          <w:highlight w:val="none"/>
          <w:shd w:val="clear" w:color="auto" w:fill="FFFFFF"/>
        </w:rPr>
        <w:t>开标</w:t>
      </w:r>
      <w:r>
        <w:rPr>
          <w:rFonts w:hint="eastAsia" w:ascii="宋体" w:hAnsi="宋体" w:cs="宋体"/>
          <w:color w:val="333333"/>
          <w:szCs w:val="24"/>
          <w:highlight w:val="none"/>
          <w:u w:val="single"/>
          <w:shd w:val="clear" w:color="auto" w:fill="FFFFFF"/>
        </w:rPr>
        <w:t xml:space="preserve"> </w:t>
      </w:r>
      <w:r>
        <w:rPr>
          <w:rFonts w:hint="eastAsia" w:ascii="宋体" w:hAnsi="宋体" w:cs="宋体"/>
          <w:color w:val="333333"/>
          <w:szCs w:val="24"/>
          <w:highlight w:val="none"/>
          <w:u w:val="single"/>
          <w:shd w:val="clear" w:color="auto" w:fill="FFFFFF"/>
          <w:lang w:val="en-US" w:eastAsia="zh-CN"/>
        </w:rPr>
        <w:t>1</w:t>
      </w:r>
      <w:r>
        <w:rPr>
          <w:rFonts w:hint="eastAsia" w:ascii="宋体" w:hAnsi="宋体" w:cs="宋体"/>
          <w:color w:val="333333"/>
          <w:szCs w:val="24"/>
          <w:highlight w:val="none"/>
          <w:u w:val="single"/>
          <w:shd w:val="clear" w:color="auto" w:fill="FFFFFF"/>
        </w:rPr>
        <w:t xml:space="preserve"> </w:t>
      </w:r>
      <w:r>
        <w:rPr>
          <w:rFonts w:hint="eastAsia" w:ascii="宋体" w:hAnsi="宋体" w:cs="宋体"/>
          <w:color w:val="333333"/>
          <w:szCs w:val="24"/>
          <w:highlight w:val="none"/>
          <w:u w:val="single"/>
          <w:shd w:val="clear" w:color="auto" w:fill="FFFFFF"/>
          <w:lang w:val="en-US" w:eastAsia="zh-CN"/>
        </w:rPr>
        <w:t xml:space="preserve"> </w:t>
      </w:r>
      <w:r>
        <w:rPr>
          <w:rFonts w:hint="eastAsia" w:ascii="宋体" w:hAnsi="宋体" w:cs="宋体"/>
          <w:color w:val="333333"/>
          <w:szCs w:val="24"/>
          <w:highlight w:val="none"/>
          <w:shd w:val="clear" w:color="auto" w:fill="FFFFFF"/>
        </w:rPr>
        <w:t>厅</w:t>
      </w:r>
    </w:p>
    <w:p>
      <w:pPr>
        <w:pStyle w:val="25"/>
        <w:widowControl/>
        <w:spacing w:beforeAutospacing="0" w:afterAutospacing="0" w:line="360" w:lineRule="exact"/>
        <w:ind w:firstLine="420"/>
        <w:rPr>
          <w:rFonts w:ascii="宋体" w:hAnsi="宋体" w:cs="宋体"/>
          <w:b/>
          <w:bCs/>
          <w:color w:val="333333"/>
          <w:szCs w:val="24"/>
          <w:highlight w:val="none"/>
          <w:shd w:val="clear" w:color="auto" w:fill="FFFFFF"/>
        </w:rPr>
      </w:pPr>
      <w:r>
        <w:rPr>
          <w:rFonts w:hint="eastAsia" w:ascii="宋体" w:hAnsi="宋体" w:cs="宋体"/>
          <w:b/>
          <w:bCs/>
          <w:color w:val="333333"/>
          <w:szCs w:val="24"/>
          <w:highlight w:val="none"/>
          <w:shd w:val="clear" w:color="auto" w:fill="FFFFFF"/>
        </w:rPr>
        <w:t>五、开启</w:t>
      </w:r>
    </w:p>
    <w:p>
      <w:pPr>
        <w:pStyle w:val="25"/>
        <w:widowControl/>
        <w:spacing w:beforeAutospacing="0" w:afterAutospacing="0" w:line="360" w:lineRule="exact"/>
        <w:ind w:firstLine="420"/>
        <w:rPr>
          <w:rFonts w:ascii="宋体" w:hAnsi="宋体" w:cs="宋体"/>
          <w:color w:val="333333"/>
          <w:szCs w:val="24"/>
          <w:shd w:val="clear" w:color="auto" w:fill="FFFFFF"/>
        </w:rPr>
      </w:pPr>
      <w:r>
        <w:rPr>
          <w:rFonts w:hint="eastAsia" w:ascii="宋体" w:hAnsi="宋体" w:cs="宋体"/>
          <w:color w:val="333333"/>
          <w:szCs w:val="24"/>
          <w:shd w:val="clear" w:color="auto" w:fill="FFFFFF"/>
        </w:rPr>
        <w:t>1、时间：2022年</w:t>
      </w:r>
      <w:r>
        <w:rPr>
          <w:rFonts w:hint="eastAsia" w:ascii="宋体" w:hAnsi="宋体" w:cs="宋体"/>
          <w:color w:val="333333"/>
          <w:szCs w:val="24"/>
          <w:shd w:val="clear" w:color="auto" w:fill="FFFFFF"/>
          <w:lang w:val="en-US" w:eastAsia="zh-CN"/>
        </w:rPr>
        <w:t>7</w:t>
      </w:r>
      <w:r>
        <w:rPr>
          <w:rFonts w:hint="eastAsia" w:ascii="宋体" w:hAnsi="宋体" w:cs="宋体"/>
          <w:color w:val="333333"/>
          <w:szCs w:val="24"/>
          <w:shd w:val="clear" w:color="auto" w:fill="FFFFFF"/>
        </w:rPr>
        <w:t xml:space="preserve">月 </w:t>
      </w:r>
      <w:r>
        <w:rPr>
          <w:rFonts w:hint="eastAsia" w:ascii="宋体" w:hAnsi="宋体" w:cs="宋体"/>
          <w:color w:val="333333"/>
          <w:szCs w:val="24"/>
          <w:shd w:val="clear" w:color="auto" w:fill="FFFFFF"/>
          <w:lang w:val="en-US" w:eastAsia="zh-CN"/>
        </w:rPr>
        <w:t>22</w:t>
      </w:r>
      <w:r>
        <w:rPr>
          <w:rFonts w:hint="eastAsia" w:ascii="宋体" w:hAnsi="宋体" w:cs="宋体"/>
          <w:color w:val="333333"/>
          <w:szCs w:val="24"/>
          <w:shd w:val="clear" w:color="auto" w:fill="FFFFFF"/>
        </w:rPr>
        <w:t>日9点00分（北京时间）</w:t>
      </w:r>
    </w:p>
    <w:p>
      <w:pPr>
        <w:pStyle w:val="25"/>
        <w:widowControl/>
        <w:spacing w:beforeAutospacing="0" w:afterAutospacing="0" w:line="360" w:lineRule="exact"/>
        <w:ind w:firstLine="420"/>
        <w:rPr>
          <w:rFonts w:ascii="宋体" w:hAnsi="宋体" w:cs="宋体"/>
          <w:color w:val="333333"/>
          <w:szCs w:val="24"/>
          <w:highlight w:val="none"/>
          <w:shd w:val="clear" w:color="auto" w:fill="FFFFFF"/>
        </w:rPr>
      </w:pPr>
      <w:r>
        <w:rPr>
          <w:rFonts w:hint="eastAsia" w:ascii="宋体" w:hAnsi="宋体" w:cs="宋体"/>
          <w:color w:val="333333"/>
          <w:szCs w:val="24"/>
          <w:shd w:val="clear" w:color="auto" w:fill="FFFFFF"/>
        </w:rPr>
        <w:t>2、地点：阳新县公共资源交易中心</w:t>
      </w:r>
      <w:r>
        <w:rPr>
          <w:rFonts w:hint="eastAsia" w:ascii="宋体" w:hAnsi="宋体" w:cs="宋体"/>
          <w:color w:val="333333"/>
          <w:szCs w:val="24"/>
          <w:highlight w:val="none"/>
          <w:shd w:val="clear" w:color="auto" w:fill="FFFFFF"/>
        </w:rPr>
        <w:t>评标</w:t>
      </w:r>
      <w:r>
        <w:rPr>
          <w:rFonts w:hint="eastAsia" w:ascii="宋体" w:hAnsi="宋体" w:cs="宋体"/>
          <w:color w:val="333333"/>
          <w:szCs w:val="24"/>
          <w:highlight w:val="none"/>
          <w:u w:val="single"/>
          <w:shd w:val="clear" w:color="auto" w:fill="FFFFFF"/>
        </w:rPr>
        <w:t xml:space="preserve"> </w:t>
      </w:r>
      <w:r>
        <w:rPr>
          <w:rFonts w:hint="eastAsia" w:ascii="宋体" w:hAnsi="宋体" w:cs="宋体"/>
          <w:color w:val="333333"/>
          <w:szCs w:val="24"/>
          <w:highlight w:val="none"/>
          <w:u w:val="single"/>
          <w:shd w:val="clear" w:color="auto" w:fill="FFFFFF"/>
          <w:lang w:val="en-US" w:eastAsia="zh-CN"/>
        </w:rPr>
        <w:t>1</w:t>
      </w:r>
      <w:r>
        <w:rPr>
          <w:rFonts w:hint="eastAsia" w:ascii="宋体" w:hAnsi="宋体" w:cs="宋体"/>
          <w:color w:val="333333"/>
          <w:szCs w:val="24"/>
          <w:highlight w:val="none"/>
          <w:u w:val="single"/>
          <w:shd w:val="clear" w:color="auto" w:fill="FFFFFF"/>
        </w:rPr>
        <w:t xml:space="preserve"> </w:t>
      </w:r>
      <w:r>
        <w:rPr>
          <w:rFonts w:hint="eastAsia" w:ascii="宋体" w:hAnsi="宋体" w:cs="宋体"/>
          <w:color w:val="333333"/>
          <w:szCs w:val="24"/>
          <w:highlight w:val="none"/>
          <w:shd w:val="clear" w:color="auto" w:fill="FFFFFF"/>
        </w:rPr>
        <w:t>室</w:t>
      </w:r>
    </w:p>
    <w:p>
      <w:pPr>
        <w:pStyle w:val="25"/>
        <w:widowControl/>
        <w:spacing w:beforeAutospacing="0" w:afterAutospacing="0" w:line="360" w:lineRule="exact"/>
        <w:ind w:firstLine="420"/>
        <w:rPr>
          <w:rFonts w:ascii="宋体" w:hAnsi="宋体" w:cs="宋体"/>
          <w:b/>
          <w:bCs/>
          <w:color w:val="333333"/>
          <w:szCs w:val="24"/>
          <w:highlight w:val="none"/>
          <w:shd w:val="clear" w:color="auto" w:fill="FFFFFF"/>
        </w:rPr>
      </w:pPr>
      <w:r>
        <w:rPr>
          <w:rFonts w:hint="eastAsia" w:ascii="宋体" w:hAnsi="宋体" w:cs="宋体"/>
          <w:b/>
          <w:bCs/>
          <w:color w:val="333333"/>
          <w:szCs w:val="24"/>
          <w:highlight w:val="none"/>
          <w:shd w:val="clear" w:color="auto" w:fill="FFFFFF"/>
        </w:rPr>
        <w:t>六、公告期限</w:t>
      </w:r>
    </w:p>
    <w:p>
      <w:pPr>
        <w:pStyle w:val="25"/>
        <w:widowControl/>
        <w:spacing w:beforeAutospacing="0" w:afterAutospacing="0" w:line="360" w:lineRule="exact"/>
        <w:ind w:firstLine="420"/>
        <w:rPr>
          <w:rFonts w:ascii="宋体" w:hAnsi="宋体" w:cs="宋体"/>
          <w:color w:val="333333"/>
          <w:szCs w:val="24"/>
          <w:shd w:val="clear" w:color="auto" w:fill="FFFFFF"/>
        </w:rPr>
      </w:pPr>
      <w:r>
        <w:rPr>
          <w:rFonts w:hint="eastAsia" w:ascii="宋体" w:hAnsi="宋体" w:cs="宋体"/>
          <w:color w:val="333333"/>
          <w:szCs w:val="24"/>
          <w:shd w:val="clear" w:color="auto" w:fill="FFFFFF"/>
        </w:rPr>
        <w:t>自本公告发布之日起5个工作日。</w:t>
      </w:r>
    </w:p>
    <w:p>
      <w:pPr>
        <w:pStyle w:val="25"/>
        <w:widowControl/>
        <w:spacing w:beforeAutospacing="0" w:afterAutospacing="0" w:line="360" w:lineRule="exact"/>
        <w:ind w:firstLine="42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七、其他补充事宜</w:t>
      </w:r>
    </w:p>
    <w:p>
      <w:pPr>
        <w:pStyle w:val="25"/>
        <w:widowControl/>
        <w:spacing w:beforeAutospacing="0" w:afterAutospacing="0" w:line="360" w:lineRule="exact"/>
        <w:ind w:firstLine="420"/>
        <w:rPr>
          <w:rFonts w:hint="eastAsia" w:ascii="宋体" w:hAnsi="宋体" w:eastAsia="宋体" w:cs="宋体"/>
          <w:color w:val="333333"/>
          <w:szCs w:val="24"/>
          <w:shd w:val="clear" w:color="auto" w:fill="FFFFFF"/>
        </w:rPr>
      </w:pPr>
      <w:r>
        <w:rPr>
          <w:rFonts w:hint="eastAsia" w:ascii="宋体" w:hAnsi="宋体" w:eastAsia="宋体" w:cs="宋体"/>
          <w:color w:val="333333"/>
          <w:szCs w:val="24"/>
          <w:shd w:val="clear" w:color="auto" w:fill="FFFFFF"/>
        </w:rPr>
        <w:t>1</w:t>
      </w:r>
      <w:r>
        <w:rPr>
          <w:rFonts w:hint="eastAsia" w:ascii="宋体" w:hAnsi="宋体" w:eastAsia="宋体" w:cs="宋体"/>
          <w:color w:val="333333"/>
          <w:szCs w:val="24"/>
          <w:shd w:val="clear" w:color="auto" w:fill="FFFFFF"/>
          <w:lang w:val="en-US" w:eastAsia="zh-CN"/>
        </w:rPr>
        <w:t>.投标人</w:t>
      </w:r>
      <w:r>
        <w:rPr>
          <w:rFonts w:hint="eastAsia" w:ascii="宋体" w:hAnsi="宋体" w:eastAsia="宋体" w:cs="宋体"/>
          <w:color w:val="333333"/>
          <w:szCs w:val="24"/>
          <w:shd w:val="clear" w:color="auto" w:fill="FFFFFF"/>
        </w:rPr>
        <w:t>认为采购文件、采购过程和</w:t>
      </w:r>
      <w:r>
        <w:rPr>
          <w:rFonts w:hint="eastAsia" w:ascii="宋体" w:hAnsi="宋体" w:eastAsia="宋体" w:cs="宋体"/>
          <w:color w:val="333333"/>
          <w:szCs w:val="24"/>
          <w:shd w:val="clear" w:color="auto" w:fill="FFFFFF"/>
          <w:lang w:val="en-US" w:eastAsia="zh-CN"/>
        </w:rPr>
        <w:t>中标</w:t>
      </w:r>
      <w:r>
        <w:rPr>
          <w:rFonts w:hint="eastAsia" w:ascii="宋体" w:hAnsi="宋体" w:eastAsia="宋体" w:cs="宋体"/>
          <w:color w:val="333333"/>
          <w:szCs w:val="24"/>
          <w:shd w:val="clear" w:color="auto" w:fill="FFFFFF"/>
        </w:rPr>
        <w:t>结果使自己的权益受到损害的，可以在知道或者应知其权益受到损害之日起7个工作日内向</w:t>
      </w:r>
      <w:r>
        <w:rPr>
          <w:rFonts w:hint="eastAsia" w:ascii="宋体" w:hAnsi="宋体" w:eastAsia="宋体" w:cs="宋体"/>
          <w:color w:val="333333"/>
          <w:szCs w:val="24"/>
          <w:shd w:val="clear" w:color="auto" w:fill="FFFFFF"/>
          <w:lang w:val="en-US" w:eastAsia="zh-CN"/>
        </w:rPr>
        <w:t>招标代理机构</w:t>
      </w:r>
      <w:r>
        <w:rPr>
          <w:rFonts w:hint="eastAsia" w:ascii="宋体" w:hAnsi="宋体" w:eastAsia="宋体" w:cs="宋体"/>
          <w:color w:val="333333"/>
          <w:szCs w:val="24"/>
          <w:shd w:val="clear" w:color="auto" w:fill="FFFFFF"/>
        </w:rPr>
        <w:t>提出质疑（质疑函格式采用财政部国库司政府采购管理办公室发布的</w:t>
      </w:r>
      <w:r>
        <w:rPr>
          <w:rFonts w:hint="eastAsia" w:ascii="宋体" w:hAnsi="宋体" w:eastAsia="宋体" w:cs="宋体"/>
          <w:color w:val="333333"/>
          <w:szCs w:val="24"/>
          <w:shd w:val="clear" w:color="auto" w:fill="FFFFFF"/>
          <w:lang w:val="en-US" w:eastAsia="zh-CN"/>
        </w:rPr>
        <w:t>质疑函范本</w:t>
      </w:r>
      <w:r>
        <w:rPr>
          <w:rFonts w:hint="eastAsia" w:ascii="宋体" w:hAnsi="宋体" w:eastAsia="宋体" w:cs="宋体"/>
          <w:color w:val="333333"/>
          <w:szCs w:val="24"/>
          <w:shd w:val="clear" w:color="auto" w:fill="FFFFFF"/>
        </w:rPr>
        <w:t>http://gks.mof.gov.cn/ztztz/zhengfucaigouguanli/201802/t20180201_2804589.htm）。</w:t>
      </w:r>
    </w:p>
    <w:p>
      <w:pPr>
        <w:pStyle w:val="25"/>
        <w:widowControl/>
        <w:spacing w:beforeAutospacing="0" w:afterAutospacing="0" w:line="360" w:lineRule="exact"/>
        <w:ind w:firstLine="420"/>
        <w:rPr>
          <w:rFonts w:hint="eastAsia"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2.对于有融资需求的投标人可在政府采购项目中标后携带政府采购计划备案表，中标通知书及采购合同报阳新县政府采购办公室，向意向金融机构提出政府采购合同融资申请，并上传黄石市政府采购信息共享平台。</w:t>
      </w:r>
    </w:p>
    <w:p>
      <w:pPr>
        <w:pStyle w:val="25"/>
        <w:widowControl/>
        <w:spacing w:beforeAutospacing="0" w:afterAutospacing="0" w:line="360" w:lineRule="exact"/>
        <w:ind w:firstLine="420"/>
        <w:rPr>
          <w:rFonts w:hint="default" w:ascii="宋体" w:hAnsi="宋体" w:eastAsia="宋体" w:cs="宋体"/>
          <w:color w:val="333333"/>
          <w:szCs w:val="24"/>
          <w:shd w:val="clear" w:color="auto" w:fill="FFFFFF"/>
          <w:lang w:val="en-US" w:eastAsia="zh-CN"/>
        </w:rPr>
      </w:pPr>
      <w:r>
        <w:rPr>
          <w:rFonts w:hint="eastAsia" w:ascii="宋体" w:hAnsi="宋体" w:eastAsia="宋体" w:cs="宋体"/>
          <w:color w:val="333333"/>
          <w:szCs w:val="24"/>
          <w:shd w:val="clear" w:color="auto" w:fill="FFFFFF"/>
          <w:lang w:val="en-US" w:eastAsia="zh-CN"/>
        </w:rPr>
        <w:t>3</w:t>
      </w:r>
      <w:r>
        <w:rPr>
          <w:rFonts w:hint="default" w:ascii="宋体" w:hAnsi="宋体" w:eastAsia="宋体" w:cs="宋体"/>
          <w:color w:val="333333"/>
          <w:szCs w:val="24"/>
          <w:shd w:val="clear" w:color="auto" w:fill="FFFFFF"/>
          <w:lang w:val="en-US" w:eastAsia="zh-CN"/>
        </w:rPr>
        <w:t>.本项目所属行业：在中小企业划型标准中属于</w:t>
      </w:r>
      <w:r>
        <w:rPr>
          <w:rFonts w:hint="eastAsia" w:ascii="宋体" w:hAnsi="宋体" w:eastAsia="宋体" w:cs="宋体"/>
          <w:color w:val="333333"/>
          <w:szCs w:val="24"/>
          <w:shd w:val="clear" w:color="auto" w:fill="FFFFFF"/>
          <w:lang w:val="en-US" w:eastAsia="zh-CN"/>
        </w:rPr>
        <w:t>服务业</w:t>
      </w:r>
      <w:r>
        <w:rPr>
          <w:rFonts w:hint="default" w:ascii="宋体" w:hAnsi="宋体" w:eastAsia="宋体" w:cs="宋体"/>
          <w:color w:val="333333"/>
          <w:szCs w:val="24"/>
          <w:shd w:val="clear" w:color="auto" w:fill="FFFFFF"/>
          <w:lang w:val="en-US" w:eastAsia="zh-CN"/>
        </w:rPr>
        <w:t>。</w:t>
      </w:r>
    </w:p>
    <w:p>
      <w:pPr>
        <w:pStyle w:val="25"/>
        <w:widowControl/>
        <w:spacing w:beforeAutospacing="0" w:afterAutospacing="0" w:line="360" w:lineRule="exact"/>
        <w:ind w:firstLine="420"/>
        <w:rPr>
          <w:rFonts w:hint="eastAsia" w:ascii="宋体" w:hAnsi="宋体" w:eastAsia="宋体" w:cs="宋体"/>
          <w:color w:val="333333"/>
          <w:szCs w:val="24"/>
          <w:shd w:val="clear" w:color="auto" w:fill="FFFFFF"/>
          <w:lang w:eastAsia="zh-CN"/>
        </w:rPr>
      </w:pPr>
      <w:r>
        <w:rPr>
          <w:rFonts w:hint="eastAsia" w:ascii="宋体" w:hAnsi="宋体" w:eastAsia="宋体" w:cs="宋体"/>
          <w:color w:val="333333"/>
          <w:szCs w:val="24"/>
          <w:shd w:val="clear" w:color="auto" w:fill="FFFFFF"/>
          <w:lang w:val="en-US" w:eastAsia="zh-CN"/>
        </w:rPr>
        <w:t>4.</w:t>
      </w:r>
      <w:r>
        <w:rPr>
          <w:rFonts w:hint="eastAsia" w:ascii="宋体" w:hAnsi="宋体" w:eastAsia="宋体" w:cs="宋体"/>
          <w:color w:val="333333"/>
          <w:szCs w:val="24"/>
          <w:shd w:val="clear" w:color="auto" w:fill="FFFFFF"/>
        </w:rPr>
        <w:t>线上投诉网址http://www.yx.gov.cn/zmhd/wjdc/202205/t20220516_904399.html</w:t>
      </w:r>
    </w:p>
    <w:p>
      <w:pPr>
        <w:pStyle w:val="25"/>
        <w:widowControl/>
        <w:spacing w:beforeAutospacing="0" w:afterAutospacing="0" w:line="360" w:lineRule="exact"/>
        <w:ind w:firstLine="420"/>
        <w:rPr>
          <w:rFonts w:hint="default" w:ascii="Times New Roman" w:hAnsi="Times New Roman" w:cs="Times New Roman" w:eastAsiaTheme="minorEastAsia"/>
          <w:bCs/>
          <w:szCs w:val="24"/>
          <w:lang w:val="en-US" w:eastAsia="zh-CN"/>
        </w:rPr>
      </w:pPr>
      <w:r>
        <w:rPr>
          <w:rFonts w:hint="eastAsia" w:ascii="宋体" w:hAnsi="宋体" w:eastAsia="宋体" w:cs="宋体"/>
          <w:color w:val="333333"/>
          <w:szCs w:val="24"/>
          <w:shd w:val="clear" w:color="auto" w:fill="FFFFFF"/>
          <w:lang w:val="en-US" w:eastAsia="zh-CN"/>
        </w:rPr>
        <w:t>5</w:t>
      </w:r>
      <w:r>
        <w:rPr>
          <w:rFonts w:hint="eastAsia" w:ascii="宋体" w:hAnsi="宋体" w:eastAsia="宋体" w:cs="宋体"/>
          <w:color w:val="333333"/>
          <w:szCs w:val="24"/>
          <w:shd w:val="clear" w:color="auto" w:fill="FFFFFF"/>
        </w:rPr>
        <w:t>.本公告发布的信息媒体“湖北省政府采购网”、“黄石公共资源交易信息网”及“阳新县人民政府网”。</w:t>
      </w:r>
    </w:p>
    <w:p>
      <w:pPr>
        <w:pStyle w:val="25"/>
        <w:widowControl/>
        <w:spacing w:beforeAutospacing="0" w:afterAutospacing="0" w:line="360" w:lineRule="exact"/>
        <w:ind w:firstLine="480"/>
        <w:rPr>
          <w:rFonts w:ascii="宋体" w:hAnsi="宋体" w:cs="宋体"/>
          <w:b/>
          <w:bCs/>
          <w:color w:val="333333"/>
          <w:szCs w:val="24"/>
          <w:shd w:val="clear" w:color="auto" w:fill="FFFFFF"/>
        </w:rPr>
      </w:pPr>
      <w:r>
        <w:rPr>
          <w:rFonts w:hint="eastAsia" w:ascii="宋体" w:hAnsi="宋体" w:cs="宋体"/>
          <w:b/>
          <w:bCs/>
          <w:color w:val="333333"/>
          <w:szCs w:val="24"/>
          <w:shd w:val="clear" w:color="auto" w:fill="FFFFFF"/>
        </w:rPr>
        <w:t>八、凡对本次采购提出询问，请按以下方式联系。</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1、采购人信息：阳新县洋港镇人民政府</w:t>
      </w:r>
    </w:p>
    <w:p>
      <w:pPr>
        <w:pStyle w:val="25"/>
        <w:widowControl/>
        <w:spacing w:beforeAutospacing="0" w:afterAutospacing="0" w:line="360" w:lineRule="exact"/>
        <w:ind w:firstLine="480"/>
        <w:rPr>
          <w:rFonts w:ascii="宋体" w:hAnsi="宋体" w:cs="宋体"/>
          <w:color w:val="auto"/>
          <w:shd w:val="clear" w:color="auto" w:fill="FFFFFF"/>
          <w:lang w:val="zh-CN"/>
        </w:rPr>
      </w:pPr>
      <w:r>
        <w:rPr>
          <w:rFonts w:hint="eastAsia" w:ascii="宋体" w:hAnsi="宋体" w:cs="宋体"/>
          <w:color w:val="auto"/>
          <w:shd w:val="clear" w:color="auto" w:fill="FFFFFF"/>
          <w:lang w:val="zh-CN"/>
        </w:rPr>
        <w:t>联系人：</w:t>
      </w:r>
      <w:r>
        <w:rPr>
          <w:rFonts w:hint="eastAsia" w:ascii="宋体" w:hAnsi="宋体" w:cs="宋体"/>
          <w:color w:val="auto"/>
          <w:shd w:val="clear" w:color="auto" w:fill="FFFFFF"/>
        </w:rPr>
        <w:t xml:space="preserve"> 阮翔</w:t>
      </w:r>
      <w:r>
        <w:rPr>
          <w:rFonts w:hint="eastAsia" w:ascii="宋体" w:hAnsi="宋体" w:cs="宋体"/>
          <w:color w:val="auto"/>
          <w:shd w:val="clear" w:color="auto" w:fill="FFFFFF"/>
          <w:lang w:val="zh-CN"/>
        </w:rPr>
        <w:tab/>
      </w:r>
    </w:p>
    <w:p>
      <w:pPr>
        <w:pStyle w:val="25"/>
        <w:widowControl/>
        <w:spacing w:beforeAutospacing="0" w:afterAutospacing="0" w:line="360" w:lineRule="exact"/>
        <w:ind w:firstLine="480"/>
        <w:rPr>
          <w:rFonts w:ascii="宋体" w:hAnsi="宋体" w:cs="宋体"/>
          <w:color w:val="auto"/>
          <w:shd w:val="clear" w:color="auto" w:fill="FFFFFF"/>
        </w:rPr>
      </w:pPr>
      <w:r>
        <w:rPr>
          <w:rFonts w:hint="eastAsia" w:ascii="宋体" w:hAnsi="宋体" w:cs="宋体"/>
          <w:color w:val="auto"/>
          <w:shd w:val="clear" w:color="auto" w:fill="FFFFFF"/>
        </w:rPr>
        <w:t>联系电</w:t>
      </w:r>
      <w:r>
        <w:rPr>
          <w:rFonts w:hint="eastAsia" w:ascii="宋体" w:hAnsi="宋体" w:cs="宋体"/>
          <w:color w:val="auto"/>
          <w:shd w:val="clear" w:color="auto" w:fill="FFFFFF"/>
          <w:lang w:val="zh-CN"/>
        </w:rPr>
        <w:t>话：</w:t>
      </w:r>
      <w:r>
        <w:rPr>
          <w:rFonts w:hint="eastAsia" w:ascii="宋体" w:hAnsi="宋体" w:cs="宋体"/>
          <w:color w:val="auto"/>
          <w:shd w:val="clear" w:color="auto" w:fill="FFFFFF"/>
        </w:rPr>
        <w:t xml:space="preserve">18772368377 </w:t>
      </w:r>
    </w:p>
    <w:p>
      <w:pPr>
        <w:pStyle w:val="25"/>
        <w:widowControl/>
        <w:spacing w:beforeAutospacing="0" w:afterAutospacing="0" w:line="360" w:lineRule="exact"/>
        <w:ind w:firstLine="480"/>
        <w:rPr>
          <w:rFonts w:ascii="宋体" w:hAnsi="宋体" w:cs="宋体"/>
          <w:color w:val="auto"/>
          <w:shd w:val="clear" w:color="auto" w:fill="FFFFFF"/>
        </w:rPr>
      </w:pPr>
      <w:r>
        <w:rPr>
          <w:rFonts w:hint="eastAsia" w:ascii="宋体" w:hAnsi="宋体" w:cs="宋体"/>
          <w:color w:val="auto"/>
          <w:shd w:val="clear" w:color="auto" w:fill="FFFFFF"/>
          <w:lang w:val="zh-CN"/>
        </w:rPr>
        <w:t>地址：</w:t>
      </w:r>
      <w:r>
        <w:rPr>
          <w:rFonts w:hint="eastAsia" w:ascii="宋体" w:hAnsi="宋体" w:cs="宋体"/>
          <w:color w:val="auto"/>
          <w:shd w:val="clear" w:color="auto" w:fill="FFFFFF"/>
          <w:lang w:val="en-US" w:eastAsia="zh-CN"/>
        </w:rPr>
        <w:t>阳新县洋港镇</w:t>
      </w:r>
      <w:r>
        <w:rPr>
          <w:rFonts w:hint="eastAsia" w:ascii="宋体" w:hAnsi="宋体" w:cs="宋体"/>
          <w:color w:val="auto"/>
          <w:shd w:val="clear" w:color="auto" w:fill="FFFFFF"/>
        </w:rPr>
        <w:t xml:space="preserve"> </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2、采购代理机构信息</w:t>
      </w:r>
    </w:p>
    <w:p>
      <w:pPr>
        <w:pStyle w:val="25"/>
        <w:widowControl/>
        <w:spacing w:beforeAutospacing="0" w:afterAutospacing="0" w:line="360" w:lineRule="exact"/>
        <w:ind w:firstLine="480"/>
        <w:rPr>
          <w:rFonts w:hint="eastAsia" w:ascii="宋体" w:hAnsi="宋体" w:eastAsia="宋体" w:cs="宋体"/>
          <w:color w:val="000000"/>
          <w:shd w:val="clear" w:color="auto" w:fill="FFFFFF"/>
          <w:lang w:eastAsia="zh-CN"/>
        </w:rPr>
      </w:pPr>
      <w:r>
        <w:rPr>
          <w:rFonts w:hint="eastAsia" w:ascii="宋体" w:hAnsi="宋体" w:cs="宋体"/>
          <w:color w:val="000000"/>
          <w:shd w:val="clear" w:color="auto" w:fill="FFFFFF"/>
        </w:rPr>
        <w:t>名  称：</w:t>
      </w:r>
      <w:r>
        <w:rPr>
          <w:rFonts w:hint="eastAsia" w:ascii="宋体" w:hAnsi="宋体" w:cs="宋体"/>
          <w:color w:val="000000"/>
          <w:shd w:val="clear" w:color="auto" w:fill="FFFFFF"/>
          <w:lang w:eastAsia="zh-CN"/>
        </w:rPr>
        <w:t>武汉安平天志工程咨询有限公司</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lang w:val="zh-CN"/>
        </w:rPr>
        <w:t>电话：</w:t>
      </w:r>
      <w:r>
        <w:rPr>
          <w:rFonts w:hint="eastAsia" w:ascii="宋体" w:hAnsi="宋体" w:cs="宋体"/>
          <w:color w:val="000000"/>
          <w:shd w:val="clear" w:color="auto" w:fill="FFFFFF"/>
        </w:rPr>
        <w:t>0714-7337787</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地  址：</w:t>
      </w:r>
      <w:r>
        <w:rPr>
          <w:rFonts w:hint="eastAsia" w:ascii="宋体" w:hAnsi="宋体" w:cs="宋体"/>
          <w:color w:val="000000"/>
          <w:szCs w:val="24"/>
          <w:shd w:val="clear" w:color="auto" w:fill="FFFFFF"/>
        </w:rPr>
        <w:t>阳新县太阳城四期红绿灯口四合院</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3、项目联系方式</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项目联系人：徐苏</w:t>
      </w:r>
    </w:p>
    <w:p>
      <w:pPr>
        <w:pStyle w:val="25"/>
        <w:widowControl/>
        <w:spacing w:beforeAutospacing="0" w:afterAutospacing="0" w:line="360" w:lineRule="exact"/>
        <w:ind w:firstLine="480"/>
        <w:rPr>
          <w:rFonts w:ascii="宋体" w:hAnsi="宋体" w:cs="宋体"/>
          <w:color w:val="000000"/>
          <w:shd w:val="clear" w:color="auto" w:fill="FFFFFF"/>
        </w:rPr>
      </w:pPr>
      <w:r>
        <w:rPr>
          <w:rFonts w:hint="eastAsia" w:ascii="宋体" w:hAnsi="宋体" w:cs="宋体"/>
          <w:color w:val="000000"/>
          <w:shd w:val="clear" w:color="auto" w:fill="FFFFFF"/>
        </w:rPr>
        <w:t>电  话：15997137035</w:t>
      </w:r>
    </w:p>
    <w:p>
      <w:pPr>
        <w:pStyle w:val="25"/>
        <w:widowControl/>
        <w:spacing w:beforeAutospacing="0" w:afterAutospacing="0" w:line="360" w:lineRule="exact"/>
        <w:ind w:firstLine="480"/>
        <w:jc w:val="right"/>
        <w:rPr>
          <w:b/>
          <w:color w:val="000000" w:themeColor="text1"/>
          <w:sz w:val="36"/>
          <w:szCs w:val="36"/>
          <w:lang w:val="hr-HR"/>
          <w14:textFill>
            <w14:solidFill>
              <w14:schemeClr w14:val="tx1"/>
            </w14:solidFill>
          </w14:textFill>
        </w:rPr>
      </w:pPr>
      <w:r>
        <w:rPr>
          <w:rFonts w:hint="eastAsia" w:ascii="宋体" w:hAnsi="宋体" w:cs="宋体"/>
          <w:color w:val="333333"/>
          <w:szCs w:val="24"/>
          <w:shd w:val="clear" w:color="auto" w:fill="FFFFFF"/>
        </w:rPr>
        <w:t>2022年</w:t>
      </w:r>
      <w:r>
        <w:rPr>
          <w:rFonts w:hint="eastAsia" w:ascii="宋体" w:hAnsi="宋体" w:cs="宋体"/>
          <w:color w:val="333333"/>
          <w:szCs w:val="24"/>
          <w:shd w:val="clear" w:color="auto" w:fill="FFFFFF"/>
          <w:lang w:val="en-US" w:eastAsia="zh-CN"/>
        </w:rPr>
        <w:t>7</w:t>
      </w:r>
      <w:r>
        <w:rPr>
          <w:rFonts w:hint="eastAsia" w:ascii="宋体" w:hAnsi="宋体" w:cs="宋体"/>
          <w:color w:val="333333"/>
          <w:szCs w:val="24"/>
          <w:shd w:val="clear" w:color="auto" w:fill="FFFFFF"/>
        </w:rPr>
        <w:t>月</w:t>
      </w:r>
      <w:r>
        <w:rPr>
          <w:rFonts w:hint="eastAsia" w:ascii="宋体" w:hAnsi="宋体" w:cs="宋体"/>
          <w:color w:val="333333"/>
          <w:szCs w:val="24"/>
          <w:shd w:val="clear" w:color="auto" w:fill="FFFFFF"/>
          <w:lang w:val="en-US" w:eastAsia="zh-CN"/>
        </w:rPr>
        <w:t>8</w:t>
      </w:r>
      <w:r>
        <w:rPr>
          <w:rFonts w:hint="eastAsia" w:ascii="宋体" w:hAnsi="宋体" w:cs="宋体"/>
          <w:color w:val="333333"/>
          <w:szCs w:val="24"/>
          <w:shd w:val="clear" w:color="auto" w:fill="FFFFFF"/>
        </w:rPr>
        <w:t>日</w:t>
      </w:r>
      <w:bookmarkStart w:id="2" w:name="_Toc16906"/>
    </w:p>
    <w:p>
      <w:pPr>
        <w:snapToGrid w:val="0"/>
        <w:spacing w:after="468" w:afterLines="150"/>
        <w:jc w:val="center"/>
        <w:outlineLvl w:val="0"/>
        <w:rPr>
          <w:b/>
          <w:color w:val="000000" w:themeColor="text1"/>
          <w:sz w:val="36"/>
          <w:szCs w:val="36"/>
          <w:lang w:val="hr-HR"/>
          <w14:textFill>
            <w14:solidFill>
              <w14:schemeClr w14:val="tx1"/>
            </w14:solidFill>
          </w14:textFill>
        </w:rPr>
      </w:pPr>
      <w:bookmarkStart w:id="3" w:name="_Toc14739"/>
    </w:p>
    <w:p>
      <w:pPr>
        <w:pStyle w:val="4"/>
        <w:numPr>
          <w:ilvl w:val="1"/>
          <w:numId w:val="0"/>
        </w:numPr>
        <w:rPr>
          <w:lang w:val="hr-HR"/>
        </w:rPr>
      </w:pPr>
    </w:p>
    <w:p>
      <w:pPr>
        <w:rPr>
          <w:b/>
          <w:color w:val="000000" w:themeColor="text1"/>
          <w:sz w:val="36"/>
          <w:szCs w:val="36"/>
          <w:lang w:val="hr-HR"/>
          <w14:textFill>
            <w14:solidFill>
              <w14:schemeClr w14:val="tx1"/>
            </w14:solidFill>
          </w14:textFill>
        </w:rPr>
      </w:pPr>
    </w:p>
    <w:p>
      <w:pPr>
        <w:pStyle w:val="4"/>
        <w:numPr>
          <w:ilvl w:val="1"/>
          <w:numId w:val="0"/>
        </w:numPr>
        <w:rPr>
          <w:lang w:val="hr-HR"/>
        </w:rPr>
      </w:pPr>
    </w:p>
    <w:p>
      <w:pPr>
        <w:rPr>
          <w:lang w:val="hr-HR"/>
        </w:rPr>
      </w:pPr>
    </w:p>
    <w:p>
      <w:pPr>
        <w:pStyle w:val="4"/>
        <w:numPr>
          <w:ilvl w:val="1"/>
          <w:numId w:val="0"/>
        </w:numPr>
        <w:rPr>
          <w:lang w:val="hr-HR"/>
        </w:rPr>
      </w:pPr>
    </w:p>
    <w:p>
      <w:pPr>
        <w:rPr>
          <w:lang w:val="hr-HR"/>
        </w:rPr>
      </w:pPr>
    </w:p>
    <w:p>
      <w:pPr>
        <w:rPr>
          <w:lang w:val="hr-HR"/>
        </w:rPr>
      </w:pPr>
    </w:p>
    <w:p>
      <w:pPr>
        <w:rPr>
          <w:lang w:val="hr-HR"/>
        </w:rPr>
      </w:pPr>
    </w:p>
    <w:p/>
    <w:p>
      <w:pPr>
        <w:sectPr>
          <w:headerReference r:id="rId5" w:type="default"/>
          <w:footerReference r:id="rId6" w:type="default"/>
          <w:pgSz w:w="11906" w:h="16838"/>
          <w:pgMar w:top="1440" w:right="1134" w:bottom="1440" w:left="1304" w:header="851" w:footer="992" w:gutter="0"/>
          <w:cols w:space="425" w:num="1"/>
          <w:docGrid w:type="lines" w:linePitch="312" w:charSpace="0"/>
        </w:sectPr>
      </w:pPr>
    </w:p>
    <w:p>
      <w:pPr>
        <w:snapToGrid w:val="0"/>
        <w:spacing w:after="468" w:afterLines="150"/>
        <w:jc w:val="center"/>
        <w:outlineLvl w:val="0"/>
        <w:rPr>
          <w:b/>
          <w:color w:val="000000" w:themeColor="text1"/>
          <w:sz w:val="36"/>
          <w:szCs w:val="36"/>
          <w14:textFill>
            <w14:solidFill>
              <w14:schemeClr w14:val="tx1"/>
            </w14:solidFill>
          </w14:textFill>
        </w:rPr>
      </w:pPr>
      <w:r>
        <w:rPr>
          <w:b/>
          <w:color w:val="000000" w:themeColor="text1"/>
          <w:sz w:val="36"/>
          <w:szCs w:val="36"/>
          <w:lang w:val="hr-HR"/>
          <w14:textFill>
            <w14:solidFill>
              <w14:schemeClr w14:val="tx1"/>
            </w14:solidFill>
          </w14:textFill>
        </w:rPr>
        <w:t>第二章</w:t>
      </w:r>
      <w:r>
        <w:rPr>
          <w:rFonts w:hint="eastAsia"/>
          <w:b/>
          <w:color w:val="000000" w:themeColor="text1"/>
          <w:sz w:val="36"/>
          <w:szCs w:val="36"/>
          <w14:textFill>
            <w14:solidFill>
              <w14:schemeClr w14:val="tx1"/>
            </w14:solidFill>
          </w14:textFill>
        </w:rPr>
        <w:t xml:space="preserve"> 磋商</w:t>
      </w:r>
      <w:r>
        <w:rPr>
          <w:b/>
          <w:color w:val="000000" w:themeColor="text1"/>
          <w:sz w:val="36"/>
          <w:szCs w:val="36"/>
          <w14:textFill>
            <w14:solidFill>
              <w14:schemeClr w14:val="tx1"/>
            </w14:solidFill>
          </w14:textFill>
        </w:rPr>
        <w:t>须知</w:t>
      </w:r>
      <w:bookmarkEnd w:id="2"/>
      <w:bookmarkEnd w:id="3"/>
    </w:p>
    <w:p>
      <w:pPr>
        <w:jc w:val="center"/>
        <w:rPr>
          <w:szCs w:val="28"/>
        </w:rPr>
      </w:pPr>
      <w:r>
        <w:rPr>
          <w:rFonts w:hint="eastAsia"/>
          <w:szCs w:val="28"/>
        </w:rPr>
        <w:t>磋商</w:t>
      </w:r>
      <w:r>
        <w:rPr>
          <w:szCs w:val="28"/>
        </w:rPr>
        <w:t>须知前附表</w:t>
      </w:r>
    </w:p>
    <w:tbl>
      <w:tblPr>
        <w:tblStyle w:val="29"/>
        <w:tblW w:w="87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4"/>
        <w:gridCol w:w="2049"/>
        <w:gridCol w:w="58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834" w:type="dxa"/>
            <w:tcBorders>
              <w:top w:val="single" w:color="auto" w:sz="4" w:space="0"/>
              <w:bottom w:val="single" w:color="auto" w:sz="4" w:space="0"/>
              <w:right w:val="single" w:color="auto" w:sz="4" w:space="0"/>
            </w:tcBorders>
            <w:vAlign w:val="center"/>
          </w:tcPr>
          <w:p>
            <w:pPr>
              <w:jc w:val="center"/>
              <w:rPr>
                <w:sz w:val="24"/>
              </w:rPr>
            </w:pPr>
            <w:r>
              <w:rPr>
                <w:rFonts w:hAnsi="宋体"/>
                <w:sz w:val="24"/>
              </w:rPr>
              <w:t>序号</w:t>
            </w:r>
          </w:p>
        </w:tc>
        <w:tc>
          <w:tcPr>
            <w:tcW w:w="2049" w:type="dxa"/>
            <w:tcBorders>
              <w:top w:val="single" w:color="auto" w:sz="4" w:space="0"/>
              <w:left w:val="single" w:color="auto" w:sz="4" w:space="0"/>
              <w:bottom w:val="single" w:color="auto" w:sz="4" w:space="0"/>
              <w:right w:val="single" w:color="auto" w:sz="4" w:space="0"/>
            </w:tcBorders>
            <w:vAlign w:val="center"/>
          </w:tcPr>
          <w:p>
            <w:pPr>
              <w:ind w:right="57"/>
              <w:jc w:val="center"/>
              <w:rPr>
                <w:sz w:val="24"/>
              </w:rPr>
            </w:pPr>
            <w:r>
              <w:rPr>
                <w:rFonts w:hAnsi="宋体"/>
                <w:sz w:val="24"/>
              </w:rPr>
              <w:t>项目</w:t>
            </w:r>
          </w:p>
        </w:tc>
        <w:tc>
          <w:tcPr>
            <w:tcW w:w="5835" w:type="dxa"/>
            <w:tcBorders>
              <w:top w:val="single" w:color="auto" w:sz="4" w:space="0"/>
              <w:left w:val="single" w:color="auto" w:sz="4" w:space="0"/>
              <w:bottom w:val="single" w:color="auto" w:sz="4" w:space="0"/>
            </w:tcBorders>
            <w:vAlign w:val="center"/>
          </w:tcPr>
          <w:p>
            <w:pPr>
              <w:ind w:left="57" w:right="57" w:firstLine="482" w:firstLineChars="201"/>
              <w:jc w:val="center"/>
              <w:rPr>
                <w:sz w:val="24"/>
              </w:rPr>
            </w:pPr>
            <w:r>
              <w:rPr>
                <w:rFonts w:hAnsi="宋体"/>
                <w:sz w:val="24"/>
              </w:rPr>
              <w:t>内</w:t>
            </w:r>
            <w:r>
              <w:rPr>
                <w:rFonts w:hint="eastAsia" w:hAnsi="宋体"/>
                <w:sz w:val="24"/>
              </w:rPr>
              <w:t xml:space="preserve">   </w:t>
            </w:r>
            <w:r>
              <w:rPr>
                <w:rFonts w:hAnsi="宋体"/>
                <w:sz w:val="24"/>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1</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项目名称</w:t>
            </w:r>
          </w:p>
        </w:tc>
        <w:tc>
          <w:tcPr>
            <w:tcW w:w="5835" w:type="dxa"/>
            <w:tcBorders>
              <w:top w:val="single" w:color="auto" w:sz="4" w:space="0"/>
              <w:left w:val="single" w:color="auto" w:sz="4" w:space="0"/>
              <w:bottom w:val="single" w:color="auto" w:sz="4" w:space="0"/>
            </w:tcBorders>
            <w:vAlign w:val="center"/>
          </w:tcPr>
          <w:p>
            <w:pPr>
              <w:jc w:val="left"/>
              <w:rPr>
                <w:rFonts w:hAnsi="宋体"/>
                <w:sz w:val="24"/>
              </w:rPr>
            </w:pPr>
            <w:r>
              <w:rPr>
                <w:rFonts w:hint="eastAsia" w:hAnsi="宋体"/>
                <w:sz w:val="24"/>
              </w:rPr>
              <w:t>阳新县洋港镇崩山村关停煤矿地下水综合治理项目专项水文地质勘察服务项目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2</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项目编号</w:t>
            </w:r>
          </w:p>
        </w:tc>
        <w:tc>
          <w:tcPr>
            <w:tcW w:w="5835" w:type="dxa"/>
            <w:tcBorders>
              <w:top w:val="single" w:color="auto" w:sz="4" w:space="0"/>
              <w:left w:val="single" w:color="auto" w:sz="4" w:space="0"/>
              <w:bottom w:val="single" w:color="auto" w:sz="4" w:space="0"/>
            </w:tcBorders>
            <w:vAlign w:val="center"/>
          </w:tcPr>
          <w:p>
            <w:pPr>
              <w:jc w:val="left"/>
              <w:rPr>
                <w:rFonts w:hint="default" w:hAnsi="宋体" w:eastAsia="宋体"/>
                <w:sz w:val="24"/>
                <w:lang w:val="en-US" w:eastAsia="zh-CN"/>
              </w:rPr>
            </w:pPr>
            <w:r>
              <w:rPr>
                <w:rFonts w:hint="eastAsia" w:ascii="宋体" w:hAnsi="宋体" w:cs="宋体"/>
                <w:sz w:val="24"/>
                <w:shd w:val="clear" w:color="auto" w:fill="FFFFFF"/>
              </w:rPr>
              <w:t>131-2022CG-</w:t>
            </w:r>
            <w:r>
              <w:rPr>
                <w:rFonts w:hint="eastAsia" w:ascii="宋体" w:hAnsi="宋体" w:cs="宋体"/>
                <w:sz w:val="24"/>
                <w:shd w:val="clear" w:color="auto" w:fill="FFFFFF"/>
                <w:lang w:val="en-US" w:eastAsia="zh-CN"/>
              </w:rPr>
              <w:t>144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3</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Ansi="宋体"/>
                <w:sz w:val="24"/>
              </w:rPr>
              <w:t>采购人</w:t>
            </w:r>
          </w:p>
        </w:tc>
        <w:tc>
          <w:tcPr>
            <w:tcW w:w="5835" w:type="dxa"/>
            <w:tcBorders>
              <w:top w:val="single" w:color="auto" w:sz="4" w:space="0"/>
              <w:left w:val="single" w:color="auto" w:sz="4" w:space="0"/>
              <w:bottom w:val="single" w:color="auto" w:sz="4" w:space="0"/>
            </w:tcBorders>
            <w:vAlign w:val="center"/>
          </w:tcPr>
          <w:p>
            <w:pPr>
              <w:pStyle w:val="25"/>
              <w:widowControl/>
              <w:spacing w:beforeAutospacing="0" w:afterAutospacing="0" w:line="340" w:lineRule="exact"/>
              <w:rPr>
                <w:rFonts w:ascii="宋体" w:hAnsi="宋体" w:cs="宋体"/>
                <w:color w:val="auto"/>
                <w:szCs w:val="24"/>
                <w:shd w:val="clear" w:color="auto" w:fill="FFFFFF"/>
              </w:rPr>
            </w:pPr>
            <w:r>
              <w:rPr>
                <w:rFonts w:hint="eastAsia" w:ascii="宋体" w:hAnsi="宋体" w:cs="宋体"/>
                <w:color w:val="auto"/>
                <w:szCs w:val="24"/>
                <w:shd w:val="clear" w:color="auto" w:fill="FFFFFF"/>
              </w:rPr>
              <w:t>采购人信息：阳新县洋港镇人民政府</w:t>
            </w:r>
          </w:p>
          <w:p>
            <w:pPr>
              <w:pStyle w:val="25"/>
              <w:widowControl/>
              <w:spacing w:beforeAutospacing="0" w:afterAutospacing="0" w:line="340" w:lineRule="exact"/>
              <w:rPr>
                <w:rFonts w:ascii="宋体" w:hAnsi="宋体" w:cs="宋体"/>
                <w:color w:val="auto"/>
                <w:szCs w:val="24"/>
                <w:shd w:val="clear" w:color="auto" w:fill="FFFFFF"/>
              </w:rPr>
            </w:pPr>
            <w:r>
              <w:rPr>
                <w:rFonts w:hint="eastAsia" w:ascii="宋体" w:hAnsi="宋体" w:cs="宋体"/>
                <w:color w:val="auto"/>
                <w:szCs w:val="24"/>
                <w:shd w:val="clear" w:color="auto" w:fill="FFFFFF"/>
              </w:rPr>
              <w:t>联系人：</w:t>
            </w:r>
            <w:r>
              <w:rPr>
                <w:rFonts w:hint="eastAsia" w:ascii="宋体" w:hAnsi="宋体" w:cs="宋体"/>
                <w:color w:val="auto"/>
                <w:shd w:val="clear" w:color="auto" w:fill="FFFFFF"/>
              </w:rPr>
              <w:t>阮翔</w:t>
            </w:r>
            <w:r>
              <w:rPr>
                <w:rFonts w:hint="eastAsia" w:ascii="宋体" w:hAnsi="宋体" w:cs="宋体"/>
                <w:color w:val="auto"/>
                <w:szCs w:val="24"/>
                <w:shd w:val="clear" w:color="auto" w:fill="FFFFFF"/>
              </w:rPr>
              <w:t>   联系电话：</w:t>
            </w:r>
            <w:r>
              <w:rPr>
                <w:rFonts w:hint="eastAsia" w:ascii="宋体" w:hAnsi="宋体" w:cs="宋体"/>
                <w:color w:val="auto"/>
                <w:shd w:val="clear" w:color="auto" w:fill="FFFFFF"/>
              </w:rPr>
              <w:t>18772368377</w:t>
            </w:r>
            <w:r>
              <w:rPr>
                <w:rFonts w:hint="eastAsia" w:ascii="宋体" w:hAnsi="宋体" w:cs="宋体"/>
                <w:color w:val="auto"/>
                <w:szCs w:val="24"/>
                <w:shd w:val="clear" w:color="auto" w:fill="FFFFFF"/>
              </w:rPr>
              <w:t xml:space="preserve">  </w:t>
            </w:r>
          </w:p>
          <w:p>
            <w:pPr>
              <w:pStyle w:val="25"/>
              <w:widowControl/>
              <w:spacing w:beforeAutospacing="0" w:afterAutospacing="0" w:line="340" w:lineRule="exact"/>
              <w:rPr>
                <w:rFonts w:hAnsi="宋体"/>
                <w:color w:val="auto"/>
              </w:rPr>
            </w:pPr>
            <w:r>
              <w:rPr>
                <w:rFonts w:hint="eastAsia" w:ascii="宋体" w:hAnsi="宋体" w:cs="宋体"/>
                <w:color w:val="auto"/>
                <w:szCs w:val="24"/>
                <w:shd w:val="clear" w:color="auto" w:fill="FFFFFF"/>
              </w:rPr>
              <w:t>联系地址：</w:t>
            </w:r>
            <w:r>
              <w:rPr>
                <w:rFonts w:hint="eastAsia" w:ascii="宋体" w:hAnsi="宋体" w:cs="宋体"/>
                <w:color w:val="auto"/>
                <w:shd w:val="clear" w:color="auto" w:fill="FFFFFF"/>
                <w:lang w:val="en-US" w:eastAsia="zh-CN"/>
              </w:rPr>
              <w:t>阳新县洋港镇</w:t>
            </w:r>
            <w:r>
              <w:rPr>
                <w:rFonts w:hint="eastAsia" w:ascii="宋体" w:hAnsi="宋体" w:cs="宋体"/>
                <w:color w:val="auto"/>
                <w:szCs w:val="24"/>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4</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rFonts w:hAnsi="宋体"/>
                <w:sz w:val="24"/>
              </w:rPr>
            </w:pPr>
            <w:r>
              <w:rPr>
                <w:rFonts w:hint="eastAsia" w:hAnsi="宋体"/>
                <w:sz w:val="24"/>
              </w:rPr>
              <w:t>采购代理公司</w:t>
            </w:r>
          </w:p>
        </w:tc>
        <w:tc>
          <w:tcPr>
            <w:tcW w:w="5835" w:type="dxa"/>
            <w:tcBorders>
              <w:top w:val="single" w:color="auto" w:sz="4" w:space="0"/>
              <w:left w:val="single" w:color="auto" w:sz="4" w:space="0"/>
              <w:bottom w:val="single" w:color="auto" w:sz="4" w:space="0"/>
            </w:tcBorders>
            <w:vAlign w:val="center"/>
          </w:tcPr>
          <w:p>
            <w:pPr>
              <w:pStyle w:val="25"/>
              <w:widowControl/>
              <w:spacing w:beforeAutospacing="0" w:afterAutospacing="0" w:line="340" w:lineRule="exact"/>
              <w:rPr>
                <w:rFonts w:hint="eastAsia" w:ascii="宋体" w:hAnsi="宋体" w:eastAsia="宋体" w:cs="宋体"/>
                <w:color w:val="000000"/>
                <w:szCs w:val="24"/>
                <w:shd w:val="clear" w:color="auto" w:fill="FFFFFF"/>
                <w:lang w:eastAsia="zh-CN"/>
              </w:rPr>
            </w:pPr>
            <w:r>
              <w:rPr>
                <w:rFonts w:hint="eastAsia" w:ascii="宋体" w:hAnsi="宋体" w:cs="宋体"/>
                <w:color w:val="000000"/>
                <w:szCs w:val="24"/>
                <w:shd w:val="clear" w:color="auto" w:fill="FFFFFF"/>
              </w:rPr>
              <w:t>采购代理机构：</w:t>
            </w:r>
            <w:r>
              <w:rPr>
                <w:rFonts w:hint="eastAsia" w:ascii="宋体" w:hAnsi="宋体" w:cs="宋体"/>
                <w:color w:val="000000"/>
                <w:szCs w:val="24"/>
                <w:shd w:val="clear" w:color="auto" w:fill="FFFFFF"/>
                <w:lang w:eastAsia="zh-CN"/>
              </w:rPr>
              <w:t>武汉安平天志工程咨询有限公司</w:t>
            </w:r>
          </w:p>
          <w:p>
            <w:pPr>
              <w:pStyle w:val="25"/>
              <w:widowControl/>
              <w:spacing w:beforeAutospacing="0" w:afterAutospacing="0" w:line="340" w:lineRule="exact"/>
              <w:rPr>
                <w:rFonts w:ascii="宋体" w:hAnsi="宋体" w:cs="宋体"/>
                <w:color w:val="000000"/>
                <w:szCs w:val="24"/>
                <w:shd w:val="clear" w:color="auto" w:fill="FFFFFF"/>
              </w:rPr>
            </w:pPr>
            <w:r>
              <w:rPr>
                <w:rFonts w:hint="eastAsia" w:ascii="宋体" w:hAnsi="宋体" w:cs="宋体"/>
                <w:color w:val="000000"/>
                <w:szCs w:val="24"/>
                <w:shd w:val="clear" w:color="auto" w:fill="FFFFFF"/>
              </w:rPr>
              <w:t>联系人：徐苏    联系电话：15997137035电子邮箱：514891129@qq.com</w:t>
            </w:r>
          </w:p>
          <w:p>
            <w:pPr>
              <w:pStyle w:val="25"/>
              <w:widowControl/>
              <w:spacing w:beforeAutospacing="0" w:afterAutospacing="0" w:line="340" w:lineRule="exact"/>
              <w:rPr>
                <w:rFonts w:hAnsi="宋体"/>
              </w:rPr>
            </w:pPr>
            <w:r>
              <w:rPr>
                <w:rFonts w:hint="eastAsia" w:ascii="宋体" w:hAnsi="宋体" w:cs="宋体"/>
                <w:color w:val="000000"/>
                <w:szCs w:val="24"/>
                <w:shd w:val="clear" w:color="auto" w:fill="FFFFFF"/>
              </w:rPr>
              <w:t>联系地址：阳新县太阳城四期红绿灯口四合院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5</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磋商文件份数</w:t>
            </w:r>
          </w:p>
        </w:tc>
        <w:tc>
          <w:tcPr>
            <w:tcW w:w="5835"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cs="宋体"/>
                <w:color w:val="0D0D0D"/>
                <w:sz w:val="24"/>
              </w:rPr>
              <w:t>正本一份，副本二份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6</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s="宋体"/>
                <w:color w:val="000000"/>
                <w:sz w:val="24"/>
              </w:rPr>
            </w:pPr>
            <w:r>
              <w:rPr>
                <w:rFonts w:hint="eastAsia" w:hAnsi="宋体"/>
                <w:sz w:val="24"/>
              </w:rPr>
              <w:t>投标有效期</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highlight w:val="none"/>
              </w:rPr>
            </w:pPr>
            <w:r>
              <w:rPr>
                <w:rFonts w:hint="eastAsia" w:ascii="宋体" w:hAnsi="宋体"/>
                <w:color w:val="0D0D0D"/>
                <w:sz w:val="24"/>
                <w:highlight w:val="none"/>
              </w:rPr>
              <w:t>提交响应文件截止之日起90日历日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7</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磋商控制价</w:t>
            </w:r>
          </w:p>
        </w:tc>
        <w:tc>
          <w:tcPr>
            <w:tcW w:w="5835" w:type="dxa"/>
            <w:tcBorders>
              <w:top w:val="single" w:color="auto" w:sz="4" w:space="0"/>
              <w:left w:val="single" w:color="auto" w:sz="4" w:space="0"/>
              <w:bottom w:val="single" w:color="auto" w:sz="4" w:space="0"/>
            </w:tcBorders>
          </w:tcPr>
          <w:p>
            <w:pPr>
              <w:widowControl/>
              <w:jc w:val="left"/>
              <w:rPr>
                <w:highlight w:val="none"/>
              </w:rPr>
            </w:pPr>
            <w:r>
              <w:rPr>
                <w:rFonts w:hint="eastAsia" w:ascii="宋体" w:hAnsi="宋体" w:cs="宋体"/>
                <w:b/>
                <w:bCs/>
                <w:color w:val="000000"/>
                <w:kern w:val="0"/>
                <w:sz w:val="24"/>
                <w:highlight w:val="none"/>
              </w:rPr>
              <w:t>磋商控制价为：120万元</w:t>
            </w:r>
            <w:r>
              <w:rPr>
                <w:rFonts w:hint="eastAsia" w:ascii="宋体" w:hAnsi="宋体" w:cs="宋体"/>
                <w:sz w:val="24"/>
                <w:highlight w:val="none"/>
                <w:shd w:val="clear" w:color="auto" w:fill="FFFFFF"/>
              </w:rPr>
              <w:t>（超过此报价为无效投标）</w:t>
            </w:r>
            <w:r>
              <w:rPr>
                <w:rFonts w:hint="eastAsia" w:ascii="宋体" w:hAnsi="宋体" w:cs="宋体"/>
                <w:b/>
                <w:bCs/>
                <w:color w:val="000000"/>
                <w:kern w:val="0"/>
                <w:sz w:val="24"/>
                <w:highlight w:val="none"/>
                <w:lang w:bidi="ar"/>
              </w:rPr>
              <w:t xml:space="preserve"> </w:t>
            </w:r>
          </w:p>
          <w:p>
            <w:pPr>
              <w:widowControl/>
              <w:jc w:val="left"/>
              <w:rPr>
                <w:rFonts w:ascii="宋体" w:hAnsi="宋体"/>
                <w:color w:val="0D0D0D"/>
                <w:sz w:val="24"/>
                <w:highlight w:val="none"/>
              </w:rPr>
            </w:pPr>
            <w:r>
              <w:rPr>
                <w:rFonts w:hint="eastAsia" w:ascii="宋体" w:hAnsi="宋体" w:cs="宋体"/>
                <w:b/>
                <w:bCs/>
                <w:color w:val="000000"/>
                <w:kern w:val="0"/>
                <w:sz w:val="24"/>
                <w:highlight w:val="none"/>
                <w:lang w:bidi="ar"/>
              </w:rPr>
              <w:t>（且只能有一个有效报价，投标总报价和分项报价(包括按磋商文件要求进行算术修正后的投标总价）高于磋商控制价的，其投标文件应予否决）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8</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资格审查</w:t>
            </w:r>
          </w:p>
        </w:tc>
        <w:tc>
          <w:tcPr>
            <w:tcW w:w="5835" w:type="dxa"/>
            <w:tcBorders>
              <w:top w:val="single" w:color="auto" w:sz="4" w:space="0"/>
              <w:left w:val="single" w:color="auto" w:sz="4" w:space="0"/>
              <w:bottom w:val="single" w:color="auto" w:sz="4" w:space="0"/>
            </w:tcBorders>
            <w:vAlign w:val="center"/>
          </w:tcPr>
          <w:p>
            <w:pPr>
              <w:ind w:right="-140" w:rightChars="-50"/>
              <w:rPr>
                <w:rFonts w:ascii="宋体" w:hAnsi="宋体"/>
                <w:color w:val="0D0D0D"/>
                <w:sz w:val="24"/>
              </w:rPr>
            </w:pPr>
            <w:r>
              <w:rPr>
                <w:rFonts w:hint="eastAsia" w:ascii="宋体" w:hAnsi="宋体"/>
                <w:color w:val="0D0D0D"/>
                <w:sz w:val="24"/>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z w:val="24"/>
              </w:rPr>
            </w:pPr>
            <w:r>
              <w:rPr>
                <w:rFonts w:hint="eastAsia" w:ascii="宋体" w:hAnsi="宋体"/>
                <w:sz w:val="24"/>
              </w:rPr>
              <w:t>9</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合同履行期限</w:t>
            </w:r>
          </w:p>
        </w:tc>
        <w:tc>
          <w:tcPr>
            <w:tcW w:w="5835" w:type="dxa"/>
            <w:tcBorders>
              <w:top w:val="single" w:color="auto" w:sz="4" w:space="0"/>
              <w:left w:val="single" w:color="auto" w:sz="4" w:space="0"/>
              <w:bottom w:val="single" w:color="auto" w:sz="4" w:space="0"/>
            </w:tcBorders>
            <w:vAlign w:val="center"/>
          </w:tcPr>
          <w:p>
            <w:pPr>
              <w:ind w:right="-140" w:rightChars="-50"/>
              <w:rPr>
                <w:rFonts w:ascii="宋体" w:hAnsi="宋体"/>
                <w:color w:val="FF0000"/>
                <w:sz w:val="24"/>
                <w:highlight w:val="none"/>
              </w:rPr>
            </w:pPr>
            <w:r>
              <w:rPr>
                <w:rFonts w:ascii="宋体" w:hAnsi="宋体" w:cs="宋体"/>
                <w:color w:val="FF0000"/>
                <w:kern w:val="0"/>
                <w:sz w:val="24"/>
                <w:highlight w:val="none"/>
                <w:lang w:bidi="ar"/>
              </w:rPr>
              <w:t>90</w:t>
            </w:r>
            <w:r>
              <w:rPr>
                <w:rFonts w:hint="eastAsia" w:ascii="宋体" w:hAnsi="宋体" w:cs="宋体"/>
                <w:color w:val="FF0000"/>
                <w:kern w:val="0"/>
                <w:sz w:val="24"/>
                <w:highlight w:val="none"/>
                <w:lang w:bidi="ar"/>
              </w:rPr>
              <w:t>日历天</w:t>
            </w:r>
            <w:r>
              <w:rPr>
                <w:rFonts w:ascii="宋体" w:hAnsi="宋体" w:cs="宋体"/>
                <w:color w:val="FF0000"/>
                <w:kern w:val="0"/>
                <w:sz w:val="24"/>
                <w:highlight w:val="none"/>
                <w:lang w:bidi="ar"/>
              </w:rPr>
              <w:t xml:space="preserve">   （具体时间以签订合同为准）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ascii="宋体" w:hAnsi="宋体"/>
                <w:sz w:val="24"/>
              </w:rPr>
              <w:t>10</w:t>
            </w:r>
          </w:p>
        </w:tc>
        <w:tc>
          <w:tcPr>
            <w:tcW w:w="2049" w:type="dxa"/>
            <w:tcBorders>
              <w:top w:val="single" w:color="auto" w:sz="4" w:space="0"/>
              <w:left w:val="single" w:color="auto" w:sz="4" w:space="0"/>
              <w:bottom w:val="single" w:color="auto" w:sz="4" w:space="0"/>
              <w:right w:val="single" w:color="auto" w:sz="4" w:space="0"/>
            </w:tcBorders>
            <w:vAlign w:val="center"/>
          </w:tcPr>
          <w:p>
            <w:pPr>
              <w:ind w:right="-140" w:rightChars="-50"/>
              <w:jc w:val="left"/>
              <w:rPr>
                <w:rFonts w:ascii="宋体" w:hAnsi="宋体"/>
                <w:color w:val="0D0D0D"/>
                <w:sz w:val="24"/>
              </w:rPr>
            </w:pPr>
            <w:r>
              <w:rPr>
                <w:rFonts w:hint="eastAsia" w:ascii="宋体" w:hAnsi="宋体"/>
                <w:color w:val="0D0D0D"/>
                <w:sz w:val="24"/>
              </w:rPr>
              <w:t>供应商资格要求</w:t>
            </w:r>
          </w:p>
        </w:tc>
        <w:tc>
          <w:tcPr>
            <w:tcW w:w="5835" w:type="dxa"/>
            <w:tcBorders>
              <w:top w:val="single" w:color="auto" w:sz="4" w:space="0"/>
              <w:left w:val="single" w:color="auto" w:sz="4" w:space="0"/>
              <w:bottom w:val="single" w:color="auto" w:sz="4" w:space="0"/>
            </w:tcBorders>
            <w:vAlign w:val="center"/>
          </w:tcPr>
          <w:p>
            <w:pPr>
              <w:ind w:right="-140" w:rightChars="-50"/>
              <w:rPr>
                <w:rFonts w:ascii="宋体" w:hAnsi="宋体"/>
                <w:color w:val="0D0D0D"/>
                <w:sz w:val="24"/>
              </w:rPr>
            </w:pPr>
            <w:r>
              <w:rPr>
                <w:rFonts w:hint="eastAsia" w:ascii="宋体" w:hAnsi="宋体"/>
                <w:color w:val="0D0D0D"/>
                <w:sz w:val="24"/>
              </w:rPr>
              <w:t>详见竞争性磋商公告“供应商资格要求”条款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sz w:val="24"/>
              </w:rPr>
            </w:pPr>
            <w:r>
              <w:rPr>
                <w:rFonts w:hint="eastAsia" w:ascii="宋体" w:hAnsi="宋体"/>
                <w:sz w:val="24"/>
              </w:rPr>
              <w:t>11</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olor w:val="0D0D0D"/>
                <w:sz w:val="24"/>
              </w:rPr>
            </w:pPr>
            <w:r>
              <w:rPr>
                <w:rFonts w:hint="eastAsia" w:ascii="宋体" w:hAnsi="宋体" w:cs="宋体"/>
                <w:color w:val="000000"/>
                <w:sz w:val="24"/>
              </w:rPr>
              <w:t>是否专门面向中小</w:t>
            </w:r>
            <w:r>
              <w:rPr>
                <w:rFonts w:hint="eastAsia" w:ascii="宋体" w:hAnsi="宋体" w:cs="宋体"/>
                <w:color w:val="000000"/>
                <w:sz w:val="24"/>
                <w:lang w:val="en-US" w:eastAsia="zh-CN"/>
              </w:rPr>
              <w:t>微</w:t>
            </w:r>
            <w:r>
              <w:rPr>
                <w:rFonts w:hint="eastAsia" w:ascii="宋体" w:hAnsi="宋体" w:cs="宋体"/>
                <w:color w:val="000000"/>
                <w:sz w:val="24"/>
              </w:rPr>
              <w:t>企业</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olor w:val="0D0D0D"/>
                <w:sz w:val="24"/>
              </w:rPr>
            </w:pPr>
            <w:r>
              <w:rPr>
                <w:rFonts w:hint="eastAsia" w:ascii="宋体" w:hAnsi="宋体" w:cs="宋体"/>
                <w:color w:val="000000"/>
                <w:sz w:val="24"/>
                <w:lang w:val="en-US" w:eastAsia="zh-CN"/>
              </w:rPr>
              <w:t>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default" w:ascii="宋体" w:hAnsi="宋体" w:eastAsia="宋体"/>
                <w:sz w:val="24"/>
                <w:lang w:val="en-US" w:eastAsia="zh-CN"/>
              </w:rPr>
            </w:pPr>
            <w:r>
              <w:rPr>
                <w:rFonts w:hint="eastAsia" w:ascii="宋体" w:hAnsi="宋体"/>
                <w:sz w:val="24"/>
                <w:lang w:val="en-US" w:eastAsia="zh-CN"/>
              </w:rPr>
              <w:t>12</w:t>
            </w:r>
          </w:p>
        </w:tc>
        <w:tc>
          <w:tcPr>
            <w:tcW w:w="2049" w:type="dxa"/>
            <w:tcBorders>
              <w:top w:val="single" w:color="auto" w:sz="4" w:space="0"/>
              <w:left w:val="single" w:color="auto" w:sz="4" w:space="0"/>
              <w:bottom w:val="single" w:color="auto" w:sz="4" w:space="0"/>
              <w:right w:val="single" w:color="auto" w:sz="4" w:space="0"/>
            </w:tcBorders>
            <w:vAlign w:val="center"/>
          </w:tcPr>
          <w:p>
            <w:pPr>
              <w:ind w:right="-143" w:rightChars="-51"/>
              <w:jc w:val="left"/>
              <w:rPr>
                <w:rFonts w:ascii="宋体" w:hAnsi="宋体"/>
                <w:color w:val="0D0D0D"/>
                <w:sz w:val="24"/>
              </w:rPr>
            </w:pPr>
            <w:r>
              <w:rPr>
                <w:rFonts w:hint="eastAsia" w:ascii="宋体" w:hAnsi="宋体" w:cs="宋体"/>
                <w:color w:val="000000"/>
                <w:sz w:val="24"/>
                <w:lang w:val="en-US" w:eastAsia="zh-CN"/>
              </w:rPr>
              <w:t>价格优惠政策</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olor w:val="0D0D0D"/>
                <w:sz w:val="24"/>
              </w:rPr>
            </w:pPr>
            <w:r>
              <w:rPr>
                <w:rFonts w:hint="eastAsia" w:ascii="宋体" w:hAnsi="宋体" w:cs="宋体"/>
                <w:color w:val="000000"/>
                <w:sz w:val="24"/>
                <w:lang w:val="en-US" w:eastAsia="zh-CN"/>
              </w:rPr>
              <w:t>专门面向中小企业采购的项目或者采购包，不再执行价格评审优惠的扶持政策。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3</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sz w:val="24"/>
              </w:rPr>
              <w:t>磋商</w:t>
            </w:r>
            <w:r>
              <w:rPr>
                <w:sz w:val="24"/>
              </w:rPr>
              <w:t>保证金</w:t>
            </w:r>
          </w:p>
        </w:tc>
        <w:tc>
          <w:tcPr>
            <w:tcW w:w="5835" w:type="dxa"/>
            <w:tcBorders>
              <w:top w:val="single" w:color="auto" w:sz="4" w:space="0"/>
              <w:left w:val="single" w:color="auto" w:sz="4" w:space="0"/>
              <w:bottom w:val="single" w:color="auto" w:sz="4" w:space="0"/>
            </w:tcBorders>
            <w:vAlign w:val="center"/>
          </w:tcPr>
          <w:p>
            <w:pPr>
              <w:rPr>
                <w:sz w:val="24"/>
              </w:rPr>
            </w:pPr>
            <w:r>
              <w:rPr>
                <w:rFonts w:hint="eastAsia"/>
                <w:sz w:val="24"/>
              </w:rPr>
              <w:t>☑不提交</w:t>
            </w:r>
          </w:p>
          <w:p>
            <w:pPr>
              <w:ind w:right="-140" w:rightChars="-50"/>
              <w:jc w:val="left"/>
              <w:rPr>
                <w:rFonts w:ascii="宋体" w:hAnsi="宋体" w:cs="宋体"/>
                <w:color w:val="000000"/>
                <w:sz w:val="24"/>
              </w:rPr>
            </w:pPr>
            <w:r>
              <w:rPr>
                <w:rFonts w:hint="eastAsia"/>
                <w:sz w:val="24"/>
              </w:rPr>
              <w:t>□提交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4</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ascii="宋体" w:hAnsi="宋体"/>
                <w:sz w:val="24"/>
              </w:rPr>
              <w:t>磋商小组</w:t>
            </w:r>
            <w:r>
              <w:rPr>
                <w:rFonts w:ascii="宋体" w:hAnsi="宋体"/>
                <w:sz w:val="24"/>
              </w:rPr>
              <w:t>的组建</w:t>
            </w:r>
          </w:p>
        </w:tc>
        <w:tc>
          <w:tcPr>
            <w:tcW w:w="5835" w:type="dxa"/>
            <w:tcBorders>
              <w:top w:val="single" w:color="auto" w:sz="4" w:space="0"/>
              <w:left w:val="single" w:color="auto" w:sz="4" w:space="0"/>
              <w:bottom w:val="single" w:color="auto" w:sz="4" w:space="0"/>
            </w:tcBorders>
            <w:vAlign w:val="center"/>
          </w:tcPr>
          <w:p>
            <w:pPr>
              <w:adjustRightInd w:val="0"/>
              <w:snapToGrid w:val="0"/>
              <w:spacing w:line="460" w:lineRule="exact"/>
              <w:rPr>
                <w:rFonts w:ascii="宋体" w:hAnsi="宋体"/>
                <w:color w:val="auto"/>
                <w:sz w:val="24"/>
                <w:highlight w:val="none"/>
                <w:shd w:val="clear" w:color="FFFFFF" w:fill="D9D9D9"/>
              </w:rPr>
            </w:pPr>
            <w:r>
              <w:rPr>
                <w:rFonts w:hint="eastAsia" w:ascii="宋体" w:hAnsi="宋体"/>
                <w:color w:val="auto"/>
                <w:sz w:val="24"/>
                <w:highlight w:val="none"/>
                <w:shd w:val="clear" w:color="FFFFFF" w:fill="D9D9D9"/>
              </w:rPr>
              <w:t>磋商小组</w:t>
            </w:r>
            <w:r>
              <w:rPr>
                <w:rFonts w:ascii="宋体" w:hAnsi="宋体"/>
                <w:color w:val="auto"/>
                <w:sz w:val="24"/>
                <w:highlight w:val="none"/>
                <w:shd w:val="clear" w:color="FFFFFF" w:fill="D9D9D9"/>
              </w:rPr>
              <w:t>构成：</w:t>
            </w:r>
            <w:r>
              <w:rPr>
                <w:rFonts w:ascii="宋体" w:hAnsi="宋体"/>
                <w:color w:val="auto"/>
                <w:sz w:val="24"/>
                <w:highlight w:val="none"/>
                <w:u w:val="single"/>
                <w:shd w:val="clear" w:color="FFFFFF" w:fill="D9D9D9"/>
              </w:rPr>
              <w:t xml:space="preserve"> </w:t>
            </w:r>
            <w:r>
              <w:rPr>
                <w:rFonts w:hint="eastAsia" w:ascii="宋体" w:hAnsi="宋体"/>
                <w:color w:val="auto"/>
                <w:sz w:val="24"/>
                <w:highlight w:val="none"/>
                <w:u w:val="single"/>
                <w:shd w:val="clear" w:color="FFFFFF" w:fill="D9D9D9"/>
              </w:rPr>
              <w:t xml:space="preserve"> 3 </w:t>
            </w:r>
            <w:r>
              <w:rPr>
                <w:rFonts w:ascii="宋体" w:hAnsi="宋体"/>
                <w:color w:val="auto"/>
                <w:sz w:val="24"/>
                <w:highlight w:val="none"/>
                <w:shd w:val="clear" w:color="FFFFFF" w:fill="D9D9D9"/>
              </w:rPr>
              <w:t>人</w:t>
            </w:r>
            <w:r>
              <w:rPr>
                <w:rFonts w:hint="eastAsia" w:ascii="宋体" w:hAnsi="宋体"/>
                <w:color w:val="auto"/>
                <w:sz w:val="24"/>
                <w:highlight w:val="none"/>
                <w:shd w:val="clear" w:color="FFFFFF" w:fill="D9D9D9"/>
              </w:rPr>
              <w:t>，</w:t>
            </w:r>
          </w:p>
          <w:p>
            <w:pPr>
              <w:ind w:right="-140" w:rightChars="-50"/>
              <w:jc w:val="left"/>
              <w:rPr>
                <w:rFonts w:hint="default" w:ascii="宋体" w:hAnsi="宋体" w:eastAsia="宋体" w:cs="宋体"/>
                <w:color w:val="000000"/>
                <w:sz w:val="24"/>
                <w:shd w:val="clear" w:color="FFFFFF" w:fill="D9D9D9"/>
                <w:lang w:val="en-US" w:eastAsia="zh-CN"/>
              </w:rPr>
            </w:pPr>
            <w:r>
              <w:rPr>
                <w:rFonts w:hint="eastAsia" w:ascii="宋体" w:hAnsi="宋体"/>
                <w:color w:val="auto"/>
                <w:sz w:val="24"/>
                <w:highlight w:val="none"/>
                <w:shd w:val="clear" w:color="FFFFFF" w:fill="D9D9D9"/>
              </w:rPr>
              <w:t>磋商</w:t>
            </w:r>
            <w:r>
              <w:rPr>
                <w:rFonts w:ascii="宋体" w:hAnsi="宋体"/>
                <w:color w:val="auto"/>
                <w:sz w:val="24"/>
                <w:highlight w:val="none"/>
                <w:shd w:val="clear" w:color="FFFFFF" w:fill="D9D9D9"/>
              </w:rPr>
              <w:t>专家确定方式：</w:t>
            </w:r>
            <w:r>
              <w:rPr>
                <w:rFonts w:hint="eastAsia" w:ascii="宋体" w:hAnsi="宋体"/>
                <w:color w:val="auto"/>
                <w:sz w:val="24"/>
                <w:highlight w:val="none"/>
                <w:shd w:val="clear" w:color="FFFFFF" w:fill="D9D9D9"/>
                <w:lang w:val="en-US" w:eastAsia="zh-CN"/>
              </w:rPr>
              <w:t>2名专家从</w:t>
            </w:r>
            <w:r>
              <w:rPr>
                <w:rFonts w:hint="eastAsia" w:ascii="宋体" w:hAnsi="宋体" w:cs="宋体"/>
                <w:color w:val="auto"/>
                <w:kern w:val="0"/>
                <w:sz w:val="24"/>
                <w:highlight w:val="none"/>
                <w:shd w:val="clear" w:color="FFFFFF" w:fill="D9D9D9"/>
                <w:lang w:bidi="ar"/>
              </w:rPr>
              <w:t>湖北省政府采购评审专家管理系统随机抽取</w:t>
            </w:r>
            <w:r>
              <w:rPr>
                <w:rFonts w:hint="eastAsia" w:ascii="宋体" w:hAnsi="宋体" w:cs="宋体"/>
                <w:color w:val="auto"/>
                <w:kern w:val="0"/>
                <w:sz w:val="24"/>
                <w:highlight w:val="none"/>
                <w:shd w:val="clear" w:color="FFFFFF" w:fill="D9D9D9"/>
                <w:lang w:eastAsia="zh-CN" w:bidi="ar"/>
              </w:rPr>
              <w:t>，</w:t>
            </w:r>
            <w:r>
              <w:rPr>
                <w:rFonts w:hint="eastAsia" w:ascii="宋体" w:hAnsi="宋体" w:cs="宋体"/>
                <w:color w:val="auto"/>
                <w:kern w:val="0"/>
                <w:sz w:val="24"/>
                <w:highlight w:val="none"/>
                <w:shd w:val="clear" w:color="FFFFFF" w:fill="D9D9D9"/>
                <w:lang w:val="en-US" w:eastAsia="zh-CN" w:bidi="ar"/>
              </w:rPr>
              <w:t>1名业主评委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5</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ascii="宋体" w:hAnsi="宋体"/>
                <w:sz w:val="24"/>
              </w:rPr>
              <w:t>是否授权磋商小组确定成交人</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sz w:val="24"/>
              </w:rPr>
              <w:t>否，推荐的中标候选人数：</w:t>
            </w:r>
            <w:r>
              <w:rPr>
                <w:rFonts w:ascii="宋体" w:hAnsi="宋体"/>
                <w:sz w:val="24"/>
              </w:rPr>
              <w:t>3</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宋体" w:hAnsi="宋体" w:eastAsia="宋体"/>
                <w:sz w:val="24"/>
                <w:lang w:eastAsia="zh-CN"/>
              </w:rPr>
            </w:pPr>
            <w:r>
              <w:rPr>
                <w:rFonts w:hint="eastAsia" w:ascii="宋体" w:hAnsi="宋体"/>
                <w:sz w:val="24"/>
              </w:rPr>
              <w:t>1</w:t>
            </w:r>
            <w:r>
              <w:rPr>
                <w:rFonts w:hint="eastAsia" w:ascii="宋体" w:hAnsi="宋体"/>
                <w:sz w:val="24"/>
                <w:lang w:val="en-US" w:eastAsia="zh-CN"/>
              </w:rPr>
              <w:t>6</w:t>
            </w:r>
          </w:p>
        </w:tc>
        <w:tc>
          <w:tcPr>
            <w:tcW w:w="2049"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bCs/>
                <w:color w:val="000000"/>
                <w:sz w:val="24"/>
              </w:rPr>
            </w:pPr>
            <w:r>
              <w:rPr>
                <w:rFonts w:hint="eastAsia" w:ascii="宋体" w:hAnsi="宋体" w:cs="宋体"/>
                <w:color w:val="000000"/>
                <w:kern w:val="0"/>
                <w:sz w:val="24"/>
                <w:lang w:bidi="ar"/>
              </w:rPr>
              <w:t>供应商代表出席</w:t>
            </w:r>
          </w:p>
        </w:tc>
        <w:tc>
          <w:tcPr>
            <w:tcW w:w="5835" w:type="dxa"/>
            <w:tcBorders>
              <w:top w:val="single" w:color="auto" w:sz="4" w:space="0"/>
              <w:left w:val="single" w:color="auto" w:sz="4" w:space="0"/>
              <w:bottom w:val="single" w:color="auto" w:sz="4" w:space="0"/>
            </w:tcBorders>
            <w:vAlign w:val="center"/>
          </w:tcPr>
          <w:p>
            <w:pPr>
              <w:ind w:right="-140" w:rightChars="-50"/>
              <w:jc w:val="left"/>
              <w:rPr>
                <w:rFonts w:ascii="宋体" w:hAnsi="宋体" w:cs="宋体"/>
                <w:color w:val="000000"/>
                <w:sz w:val="24"/>
              </w:rPr>
            </w:pPr>
            <w:r>
              <w:rPr>
                <w:rFonts w:hint="eastAsia" w:ascii="宋体" w:hAnsi="宋体" w:cs="宋体"/>
                <w:b/>
                <w:bCs/>
                <w:color w:val="000000"/>
                <w:kern w:val="0"/>
                <w:sz w:val="24"/>
                <w:lang w:bidi="ar"/>
              </w:rPr>
              <w:t>采购人在规定的开标时间（投标截止时间）和地点公开开标，所有供应商的法定代表（须携带法定代表人身份证明及身份证） 或委托代理人（提供法人授权委托书、身份证）应准时参加，未按要求参加或不能证明其身份的，视为自动放弃。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834" w:type="dxa"/>
            <w:tcBorders>
              <w:top w:val="single" w:color="auto" w:sz="4" w:space="0"/>
              <w:bottom w:val="single" w:color="auto" w:sz="4" w:space="0"/>
              <w:right w:val="single" w:color="auto" w:sz="4" w:space="0"/>
            </w:tcBorders>
            <w:vAlign w:val="center"/>
          </w:tcPr>
          <w:p>
            <w:pPr>
              <w:ind w:right="57" w:rightChars="0"/>
              <w:jc w:val="center"/>
              <w:rPr>
                <w:rFonts w:hint="default" w:ascii="宋体" w:hAnsi="宋体"/>
                <w:sz w:val="24"/>
                <w:lang w:val="en-US"/>
              </w:rPr>
            </w:pPr>
            <w:r>
              <w:rPr>
                <w:rFonts w:hint="eastAsia"/>
                <w:sz w:val="24"/>
                <w:lang w:val="en-US" w:eastAsia="zh-CN"/>
              </w:rPr>
              <w:t>17</w:t>
            </w:r>
          </w:p>
        </w:tc>
        <w:tc>
          <w:tcPr>
            <w:tcW w:w="204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宋体"/>
                <w:color w:val="000000"/>
                <w:kern w:val="0"/>
                <w:sz w:val="24"/>
                <w:lang w:bidi="ar"/>
              </w:rPr>
            </w:pPr>
            <w:r>
              <w:rPr>
                <w:rFonts w:hint="eastAsia" w:cs="Times New Roman" w:asciiTheme="minorEastAsia" w:hAnsiTheme="minorEastAsia"/>
                <w:bCs/>
                <w:color w:val="000000"/>
                <w:sz w:val="24"/>
                <w:lang w:val="en-US" w:eastAsia="zh-CN"/>
              </w:rPr>
              <w:t>政府采购投诉</w:t>
            </w:r>
          </w:p>
        </w:tc>
        <w:tc>
          <w:tcPr>
            <w:tcW w:w="5835" w:type="dxa"/>
            <w:tcBorders>
              <w:top w:val="single" w:color="auto" w:sz="4" w:space="0"/>
              <w:left w:val="single" w:color="auto" w:sz="4" w:space="0"/>
              <w:bottom w:val="single" w:color="auto" w:sz="4" w:space="0"/>
            </w:tcBorders>
            <w:vAlign w:val="center"/>
          </w:tcPr>
          <w:p>
            <w:pPr>
              <w:ind w:right="-140" w:rightChars="-50"/>
              <w:jc w:val="left"/>
              <w:rPr>
                <w:rFonts w:hint="eastAsia" w:ascii="宋体" w:hAnsi="宋体" w:cs="宋体"/>
                <w:color w:val="000000"/>
                <w:sz w:val="24"/>
                <w:lang w:val="en-US" w:eastAsia="zh-CN"/>
              </w:rPr>
            </w:pPr>
            <w:r>
              <w:rPr>
                <w:rFonts w:hint="eastAsia" w:ascii="宋体" w:hAnsi="宋体" w:cs="宋体"/>
                <w:color w:val="000000"/>
                <w:sz w:val="24"/>
                <w:lang w:val="en-US" w:eastAsia="zh-CN"/>
              </w:rPr>
              <w:t>政府采购投诉处理专员：王贤平、罗栋栋</w:t>
            </w:r>
          </w:p>
          <w:p>
            <w:pPr>
              <w:ind w:right="-140" w:rightChars="-50"/>
              <w:jc w:val="left"/>
              <w:rPr>
                <w:rFonts w:hint="eastAsia" w:ascii="宋体" w:hAnsi="宋体" w:cs="宋体"/>
                <w:color w:val="000000"/>
                <w:sz w:val="24"/>
                <w:lang w:val="en-US" w:eastAsia="zh-CN"/>
              </w:rPr>
            </w:pPr>
            <w:r>
              <w:rPr>
                <w:rFonts w:hint="eastAsia" w:ascii="宋体" w:hAnsi="宋体" w:cs="宋体"/>
                <w:color w:val="000000"/>
                <w:sz w:val="24"/>
                <w:lang w:val="en-US" w:eastAsia="zh-CN"/>
              </w:rPr>
              <w:t>联系电话：0714-7322696/18986578689</w:t>
            </w:r>
          </w:p>
          <w:p>
            <w:pPr>
              <w:ind w:right="-140" w:rightChars="-50"/>
              <w:jc w:val="left"/>
              <w:rPr>
                <w:rFonts w:hint="eastAsia" w:ascii="宋体" w:hAnsi="宋体" w:cs="宋体"/>
                <w:color w:val="000000"/>
                <w:sz w:val="24"/>
                <w:lang w:val="en-US" w:eastAsia="zh-CN"/>
              </w:rPr>
            </w:pPr>
            <w:r>
              <w:rPr>
                <w:rFonts w:hint="eastAsia" w:ascii="宋体" w:hAnsi="宋体" w:cs="宋体"/>
                <w:color w:val="000000"/>
                <w:sz w:val="24"/>
                <w:lang w:val="en-US" w:eastAsia="zh-CN"/>
              </w:rPr>
              <w:t>线上投诉网址：</w:t>
            </w:r>
            <w:r>
              <w:rPr>
                <w:rFonts w:hint="eastAsia" w:ascii="宋体" w:hAnsi="宋体" w:cs="宋体"/>
                <w:color w:val="000000"/>
                <w:sz w:val="24"/>
                <w:lang w:val="en-US" w:eastAsia="zh-CN"/>
              </w:rPr>
              <w:fldChar w:fldCharType="begin"/>
            </w:r>
            <w:r>
              <w:rPr>
                <w:rFonts w:hint="eastAsia" w:ascii="宋体" w:hAnsi="宋体" w:cs="宋体"/>
                <w:color w:val="000000"/>
                <w:sz w:val="24"/>
                <w:lang w:val="en-US" w:eastAsia="zh-CN"/>
              </w:rPr>
              <w:instrText xml:space="preserve"> HYPERLINK "http://www.yx.gov.cn/zmhd/wjdc/202205/t20220516_904399.html" </w:instrText>
            </w:r>
            <w:r>
              <w:rPr>
                <w:rFonts w:hint="eastAsia" w:ascii="宋体" w:hAnsi="宋体" w:cs="宋体"/>
                <w:color w:val="000000"/>
                <w:sz w:val="24"/>
                <w:lang w:val="en-US" w:eastAsia="zh-CN"/>
              </w:rPr>
              <w:fldChar w:fldCharType="separate"/>
            </w:r>
            <w:r>
              <w:rPr>
                <w:rFonts w:hint="eastAsia" w:ascii="宋体" w:hAnsi="宋体" w:cs="宋体"/>
                <w:color w:val="000000"/>
                <w:sz w:val="24"/>
                <w:lang w:val="en-US" w:eastAsia="zh-CN"/>
              </w:rPr>
              <w:t>http://www.yx.gov.cn/zmhd/wjdc/202205/t20220516_904399.html</w:t>
            </w:r>
            <w:r>
              <w:rPr>
                <w:rFonts w:hint="eastAsia" w:ascii="宋体" w:hAnsi="宋体" w:cs="宋体"/>
                <w:color w:val="000000"/>
                <w:sz w:val="24"/>
                <w:lang w:val="en-US" w:eastAsia="zh-CN"/>
              </w:rPr>
              <w:fldChar w:fldCharType="end"/>
            </w:r>
          </w:p>
          <w:p>
            <w:pPr>
              <w:ind w:right="-140" w:rightChars="-50"/>
              <w:jc w:val="left"/>
              <w:rPr>
                <w:rFonts w:hint="eastAsia" w:ascii="宋体" w:hAnsi="宋体" w:cs="宋体"/>
                <w:b/>
                <w:bCs/>
                <w:color w:val="000000"/>
                <w:kern w:val="0"/>
                <w:sz w:val="24"/>
                <w:lang w:bidi="ar"/>
              </w:rPr>
            </w:pPr>
            <w:r>
              <w:rPr>
                <w:rFonts w:hint="eastAsia" w:ascii="宋体" w:hAnsi="宋体" w:cs="宋体"/>
                <w:color w:val="000000"/>
                <w:sz w:val="22"/>
                <w:szCs w:val="22"/>
                <w:lang w:val="en-US" w:eastAsia="zh-CN"/>
              </w:rPr>
              <w:t>注：根据《政府采购质疑和投诉办法》（财政部令第94号）规定程序进行。</w:t>
            </w:r>
          </w:p>
        </w:tc>
      </w:tr>
    </w:tbl>
    <w:p>
      <w:pPr>
        <w:widowControl/>
        <w:jc w:val="left"/>
        <w:rPr>
          <w:rFonts w:eastAsia="仿宋_GB2312"/>
          <w:bCs/>
          <w:color w:val="000000" w:themeColor="text1"/>
          <w:sz w:val="24"/>
          <w14:textFill>
            <w14:solidFill>
              <w14:schemeClr w14:val="tx1"/>
            </w14:solidFill>
          </w14:textFill>
        </w:rPr>
      </w:pPr>
    </w:p>
    <w:p>
      <w:pPr>
        <w:widowControl/>
        <w:jc w:val="left"/>
        <w:rPr>
          <w:rFonts w:eastAsia="仿宋_GB2312"/>
          <w:bCs/>
          <w:color w:val="000000"/>
          <w:sz w:val="24"/>
        </w:rPr>
      </w:pPr>
      <w:r>
        <w:rPr>
          <w:rFonts w:hint="eastAsia" w:ascii="宋体" w:hAnsi="宋体"/>
          <w:color w:val="000000"/>
          <w:sz w:val="24"/>
        </w:rPr>
        <w:t>注：本表是对供应商须知的具体补充和修改，如有矛盾，应以本表为准。</w:t>
      </w:r>
    </w:p>
    <w:p>
      <w:pPr>
        <w:widowControl/>
        <w:jc w:val="left"/>
        <w:rPr>
          <w:rFonts w:eastAsia="仿宋_GB2312"/>
          <w:bCs/>
          <w:color w:val="000000" w:themeColor="text1"/>
          <w:sz w:val="24"/>
          <w14:textFill>
            <w14:solidFill>
              <w14:schemeClr w14:val="tx1"/>
            </w14:solidFill>
          </w14:textFill>
        </w:rPr>
      </w:pPr>
    </w:p>
    <w:p>
      <w:pPr>
        <w:rPr>
          <w:rFonts w:eastAsia="仿宋_GB2312"/>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br w:type="page"/>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一、总　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1.适用范围</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1.1本文件仅适用于本文件中所叙述的货物、服务类政府采购项目。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2.定义</w:t>
      </w:r>
    </w:p>
    <w:p>
      <w:pPr>
        <w:pStyle w:val="25"/>
        <w:widowControl/>
        <w:spacing w:beforeAutospacing="0" w:afterAutospacing="0" w:line="340" w:lineRule="exact"/>
        <w:rPr>
          <w:bCs/>
          <w:color w:val="000000" w:themeColor="text1"/>
          <w14:textFill>
            <w14:solidFill>
              <w14:schemeClr w14:val="tx1"/>
            </w14:solidFill>
          </w14:textFill>
        </w:rPr>
      </w:pPr>
      <w:r>
        <w:rPr>
          <w:rFonts w:hint="eastAsia"/>
          <w:bCs/>
          <w:color w:val="000000" w:themeColor="text1"/>
          <w14:textFill>
            <w14:solidFill>
              <w14:schemeClr w14:val="tx1"/>
            </w14:solidFill>
          </w14:textFill>
        </w:rPr>
        <w:t>2.1“采购人”是指：</w:t>
      </w:r>
      <w:r>
        <w:rPr>
          <w:rFonts w:hint="eastAsia" w:ascii="宋体" w:hAnsi="宋体" w:cs="宋体"/>
          <w:color w:val="000000"/>
          <w:szCs w:val="24"/>
          <w:shd w:val="clear" w:color="auto" w:fill="FFFFFF"/>
        </w:rPr>
        <w:t>阳新县洋港镇人民政府</w:t>
      </w:r>
      <w:r>
        <w:rPr>
          <w:rFonts w:hint="eastAsia"/>
          <w:bCs/>
          <w:color w:val="000000" w:themeColor="text1"/>
          <w14:textFill>
            <w14:solidFill>
              <w14:schemeClr w14:val="tx1"/>
            </w14:solidFill>
          </w14:textFill>
        </w:rPr>
        <w:t>。</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2.2“监管部门”是指：</w:t>
      </w:r>
      <w:r>
        <w:rPr>
          <w:rFonts w:hint="eastAsia"/>
          <w:b/>
          <w:sz w:val="24"/>
        </w:rPr>
        <w:t>阳新县政府采购办公室、阳新县政务服务和大数据管理局。</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2.3“采购机构”是指：</w:t>
      </w:r>
      <w:r>
        <w:rPr>
          <w:rFonts w:hint="eastAsia"/>
          <w:bCs/>
          <w:color w:val="000000" w:themeColor="text1"/>
          <w:sz w:val="24"/>
          <w:lang w:eastAsia="zh-CN"/>
          <w14:textFill>
            <w14:solidFill>
              <w14:schemeClr w14:val="tx1"/>
            </w14:solidFill>
          </w14:textFill>
        </w:rPr>
        <w:t>武汉安平天志工程咨询有限公司</w:t>
      </w:r>
      <w:r>
        <w:rPr>
          <w:rFonts w:hint="eastAsia"/>
          <w:bCs/>
          <w:color w:val="000000" w:themeColor="text1"/>
          <w:sz w:val="24"/>
          <w14:textFill>
            <w14:solidFill>
              <w14:schemeClr w14:val="tx1"/>
            </w14:solidFill>
          </w14:textFill>
        </w:rPr>
        <w:t>。</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2.4“供应商”是指：获得该项目磋商小组确定参加磋商的法人或者其他组织及自然人。如供应商在本次磋商中成交,即成为“成交供应商”。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2.5“货物”是指：是指成交供应商按本文件规定，向采购人提供的一切货物及其相关服务。根据《政府采购法》的相关规定均应是本国货物，另有规定的除外。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“服务”是指：成交供应商按本文件规定向采购人提供的所有服务。</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2.7“响应文件”是指：供应商根据本文件要求编制包含价格、技术、服务和合同草案条款等所有内容的文件。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 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lang w:bidi="ar"/>
        </w:rPr>
        <w:t>3.</w:t>
      </w:r>
      <w:r>
        <w:rPr>
          <w:rFonts w:hint="eastAsia" w:ascii="宋体" w:hAnsi="宋体" w:cs="宋体"/>
          <w:color w:val="333333"/>
          <w:szCs w:val="24"/>
          <w:shd w:val="clear" w:color="auto" w:fill="FFFFFF"/>
        </w:rPr>
        <w:t>1、满足《中华人民共和国政府采购法》第二十二条规定，即：</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（1）具有独立承担民事责任的能力；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（2）具有良好的商业信誉和健全的财务会计制度；</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（3）具有履行合同所必需的设备和专业技术能力；</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（4）有依法缴纳税收和社会保障资金的良好记录；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（5）参加政府采购活动前三年内，在经营活动中没有重大违法记录；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（6）法律、行政法规规定的其他条件。</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3.2、单位负责人为同一人或者存在直接控股、管理关系的不同投标人，不得参加本项目同一合同项下的政府采购活动。</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3.3、未被列入失信被执行人、税收违法黑名单，未被列入政府采购严重违法失信行为记录名单。</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3.4、落实政府采购政策需满足的资格要求：本项目专门面向中小企业采购，供应商应为符合《政府采购促进中小企业发展管理办法》（财库〔2020〕46号）规定的中小企业，提供中小企业声明函。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w:t>
      </w:r>
    </w:p>
    <w:p>
      <w:pPr>
        <w:pStyle w:val="25"/>
        <w:widowControl/>
        <w:spacing w:beforeAutospacing="0" w:afterAutospacing="0" w:line="360" w:lineRule="exact"/>
        <w:ind w:firstLine="480"/>
        <w:rPr>
          <w:rFonts w:ascii="宋体" w:hAnsi="宋体" w:cs="宋体"/>
          <w:color w:val="333333"/>
          <w:szCs w:val="24"/>
          <w:shd w:val="clear" w:color="auto" w:fill="FFFFFF"/>
        </w:rPr>
      </w:pPr>
      <w:r>
        <w:rPr>
          <w:rFonts w:hint="eastAsia" w:ascii="宋体" w:hAnsi="宋体" w:cs="宋体"/>
          <w:color w:val="333333"/>
          <w:szCs w:val="24"/>
          <w:shd w:val="clear" w:color="auto" w:fill="FFFFFF"/>
        </w:rPr>
        <w:t>3.5、本项目的特定资格要求：</w:t>
      </w:r>
    </w:p>
    <w:p>
      <w:pPr>
        <w:widowControl/>
        <w:spacing w:line="288" w:lineRule="auto"/>
        <w:ind w:firstLine="480" w:firstLineChars="200"/>
        <w:jc w:val="left"/>
        <w:rPr>
          <w:rFonts w:ascii="宋体" w:hAnsi="宋体" w:cs="宋体"/>
          <w:color w:val="FF0000"/>
          <w:sz w:val="24"/>
          <w:shd w:val="clear" w:color="auto" w:fill="FFFFFF"/>
          <w:lang w:val="zh-CN"/>
        </w:rPr>
      </w:pPr>
      <w:r>
        <w:rPr>
          <w:rFonts w:hint="eastAsia" w:ascii="宋体" w:hAnsi="宋体" w:cs="宋体"/>
          <w:bCs/>
          <w:color w:val="FF0000"/>
          <w:sz w:val="24"/>
        </w:rPr>
        <w:t>本次采购接受联合体投标，</w:t>
      </w:r>
      <w:r>
        <w:rPr>
          <w:rFonts w:hint="eastAsia" w:ascii="宋体" w:hAnsi="宋体"/>
          <w:color w:val="FF0000"/>
          <w:spacing w:val="-2"/>
          <w:sz w:val="24"/>
        </w:rPr>
        <w:t>如供应商为联合体投标，则联合体成员均须满足申请人的资格要求，且组成联合体成员不超过</w:t>
      </w:r>
      <w:r>
        <w:rPr>
          <w:rFonts w:ascii="宋体" w:hAnsi="宋体"/>
          <w:color w:val="FF0000"/>
          <w:spacing w:val="-2"/>
          <w:sz w:val="24"/>
        </w:rPr>
        <w:t>2家。</w:t>
      </w:r>
    </w:p>
    <w:p>
      <w:pPr>
        <w:spacing w:line="360" w:lineRule="exact"/>
        <w:ind w:left="420" w:hanging="420"/>
        <w:rPr>
          <w:rFonts w:ascii="宋体" w:hAnsi="宋体" w:cs="宋体"/>
          <w:color w:val="333333"/>
          <w:kern w:val="0"/>
          <w:sz w:val="24"/>
          <w:shd w:val="clear" w:color="auto" w:fill="FFFFFF"/>
          <w:lang w:bidi="ar"/>
        </w:rPr>
      </w:pPr>
      <w:r>
        <w:rPr>
          <w:rFonts w:hint="eastAsia" w:ascii="宋体" w:hAnsi="宋体" w:cs="宋体"/>
          <w:color w:val="333333"/>
          <w:kern w:val="0"/>
          <w:sz w:val="24"/>
          <w:shd w:val="clear" w:color="auto" w:fill="FFFFFF"/>
          <w:lang w:bidi="ar"/>
        </w:rPr>
        <w:t>3.6本文件第一章除上述以外的条款。</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 费用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4.2采购代理服务费</w:t>
      </w:r>
    </w:p>
    <w:p>
      <w:pPr>
        <w:spacing w:line="360" w:lineRule="exact"/>
        <w:ind w:left="420" w:hanging="420"/>
        <w:rPr>
          <w:bCs/>
          <w:color w:val="000000" w:themeColor="text1"/>
          <w:sz w:val="24"/>
          <w:lang w:val="zh-CN"/>
          <w14:textFill>
            <w14:solidFill>
              <w14:schemeClr w14:val="tx1"/>
            </w14:solidFill>
          </w14:textFill>
        </w:rPr>
      </w:pPr>
      <w:r>
        <w:rPr>
          <w:rFonts w:hint="eastAsia"/>
          <w:bCs/>
          <w:color w:val="000000" w:themeColor="text1"/>
          <w:sz w:val="24"/>
          <w:lang w:val="zh-CN"/>
          <w14:textFill>
            <w14:solidFill>
              <w14:schemeClr w14:val="tx1"/>
            </w14:solidFill>
          </w14:textFill>
        </w:rPr>
        <w:t>代理服务费参照国家发展与改革委员会办公厅发改办价格【2003】857 号文的规定，按国家发展和改革委员发改价格【2011】534 号文规定的费率，向政府采购代理机构支付招标服务费，由中标人支付。</w:t>
      </w:r>
    </w:p>
    <w:tbl>
      <w:tblPr>
        <w:tblStyle w:val="29"/>
        <w:tblpPr w:leftFromText="180" w:rightFromText="180" w:vertAnchor="text" w:horzAnchor="page" w:tblpX="1604" w:tblpY="450"/>
        <w:tblOverlap w:val="never"/>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7"/>
        <w:gridCol w:w="2079"/>
        <w:gridCol w:w="1888"/>
        <w:gridCol w:w="2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37" w:type="dxa"/>
          </w:tcPr>
          <w:p>
            <w:pPr>
              <w:spacing w:line="360" w:lineRule="auto"/>
              <w:ind w:firstLine="998" w:firstLineChars="416"/>
              <w:rPr>
                <w:rFonts w:ascii="宋体" w:hAnsi="宋体" w:cs="宋体"/>
                <w:sz w:val="24"/>
              </w:rPr>
            </w:pPr>
            <w:r>
              <w:rPr>
                <w:rFonts w:ascii="宋体" w:hAnsi="宋体" w:cs="宋体"/>
                <w:sz w:val="24"/>
              </w:rPr>
              <mc:AlternateContent>
                <mc:Choice Requires="wps">
                  <w:drawing>
                    <wp:anchor distT="0" distB="0" distL="114300" distR="114300" simplePos="0" relativeHeight="251660288" behindDoc="0" locked="0" layoutInCell="1" allowOverlap="1">
                      <wp:simplePos x="0" y="0"/>
                      <wp:positionH relativeFrom="column">
                        <wp:posOffset>-51435</wp:posOffset>
                      </wp:positionH>
                      <wp:positionV relativeFrom="paragraph">
                        <wp:posOffset>92075</wp:posOffset>
                      </wp:positionV>
                      <wp:extent cx="1522095" cy="1081405"/>
                      <wp:effectExtent l="2540" t="3810" r="18415" b="19685"/>
                      <wp:wrapNone/>
                      <wp:docPr id="2" name="Line 16"/>
                      <wp:cNvGraphicFramePr/>
                      <a:graphic xmlns:a="http://schemas.openxmlformats.org/drawingml/2006/main">
                        <a:graphicData uri="http://schemas.microsoft.com/office/word/2010/wordprocessingShape">
                          <wps:wsp>
                            <wps:cNvCnPr/>
                            <wps:spPr>
                              <a:xfrm flipH="1" flipV="1">
                                <a:off x="0" y="0"/>
                                <a:ext cx="1522095" cy="10814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6" o:spid="_x0000_s1026" o:spt="20" style="position:absolute;left:0pt;flip:x y;margin-left:-4.05pt;margin-top:7.25pt;height:85.15pt;width:119.85pt;z-index:251660288;mso-width-relative:page;mso-height-relative:page;" filled="f" stroked="t" coordsize="21600,21600" o:gfxdata="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Ph1y7UAAAACQEAAA8A&#10;AAAAAAAAAQAgAAAAIgAAAGRycy9kb3ducmV2LnhtbFBLAQIUABQAAAAIAIdO4kC3dTJ74gEAAOgD&#10;AAAOAAAAAAAAAAEAIAAAACMBAABkcnMvZTJvRG9jLnhtbFBLBQYAAAAABgAGAFkBAAB3BQ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1312"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4" name="Line 17"/>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7" o:spid="_x0000_s1026" o:spt="20" style="position:absolute;left:0pt;flip:x y;margin-left:-5.15pt;margin-top:4.3pt;height:33.15pt;width:125.75pt;z-index:251661312;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LgKG1QAAAAgBAAAP&#10;AAAAAAAAAAEAIAAAACIAAABkcnMvZG93bnJldi54bWxQSwECFAAUAAAACACHTuJAMyUozeIBAADn&#10;AwAADgAAAAAAAAABACAAAAAkAQAAZHJzL2Uyb0RvYy54bWxQSwUGAAAAAAYABgBZAQAAeAUAAAAA&#10;">
                      <v:fill on="f" focussize="0,0"/>
                      <v:stroke color="#000000" joinstyle="round"/>
                      <v:imagedata o:title=""/>
                      <o:lock v:ext="edit" aspectratio="f"/>
                    </v:line>
                  </w:pict>
                </mc:Fallback>
              </mc:AlternateContent>
            </w:r>
            <w:r>
              <w:rPr>
                <w:rFonts w:ascii="宋体" w:hAnsi="宋体" w:cs="宋体"/>
                <w:sz w:val="24"/>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5" name="Line 1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15"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5HTftUAAAAJAQAADwAAAAAAAAABACAAAAAiAAAAZHJz&#10;L2Rvd25yZXYueG1sUEsBAhQAFAAAAAgAh07iQDZqA4XOAQAAygMAAA4AAAAAAAAAAQAgAAAAJAEA&#10;AGRycy9lMm9Eb2MueG1sUEsFBgAAAAAGAAYAWQEAAGQFAAAAAA==&#10;">
                      <v:fill on="f" focussize="0,0"/>
                      <v:stroke color="#000000" joinstyle="round"/>
                      <v:imagedata o:title=""/>
                      <o:lock v:ext="edit" aspectratio="f"/>
                    </v:line>
                  </w:pict>
                </mc:Fallback>
              </mc:AlternateContent>
            </w:r>
            <w:r>
              <w:rPr>
                <w:rFonts w:hint="eastAsia" w:ascii="宋体" w:hAnsi="宋体" w:cs="宋体"/>
                <w:sz w:val="24"/>
              </w:rPr>
              <w:t>招标类型　　　</w:t>
            </w:r>
          </w:p>
          <w:p>
            <w:pPr>
              <w:spacing w:line="360" w:lineRule="auto"/>
              <w:ind w:firstLine="998" w:firstLineChars="416"/>
              <w:rPr>
                <w:rFonts w:ascii="宋体" w:hAnsi="宋体" w:cs="宋体"/>
                <w:sz w:val="24"/>
              </w:rPr>
            </w:pPr>
            <w:r>
              <w:rPr>
                <w:rFonts w:hint="eastAsia" w:ascii="宋体" w:hAnsi="宋体" w:cs="宋体"/>
                <w:bCs/>
                <w:sz w:val="24"/>
              </w:rPr>
              <w:t>中标</w:t>
            </w:r>
            <w:r>
              <w:rPr>
                <w:rFonts w:hint="eastAsia" w:ascii="宋体" w:hAnsi="宋体" w:cs="宋体"/>
                <w:sz w:val="24"/>
              </w:rPr>
              <w:t xml:space="preserve">　　　 </w:t>
            </w:r>
          </w:p>
          <w:p>
            <w:pPr>
              <w:spacing w:line="360" w:lineRule="auto"/>
              <w:ind w:firstLine="1504" w:firstLineChars="627"/>
              <w:rPr>
                <w:rFonts w:ascii="宋体" w:hAnsi="宋体" w:cs="宋体"/>
                <w:bCs/>
                <w:sz w:val="24"/>
              </w:rPr>
            </w:pPr>
            <w:r>
              <w:rPr>
                <w:rFonts w:hint="eastAsia" w:ascii="宋体" w:hAnsi="宋体" w:cs="宋体"/>
                <w:bCs/>
                <w:sz w:val="24"/>
              </w:rPr>
              <w:t>费率</w:t>
            </w:r>
          </w:p>
          <w:p>
            <w:pPr>
              <w:spacing w:line="360" w:lineRule="auto"/>
              <w:rPr>
                <w:rFonts w:ascii="宋体" w:hAnsi="宋体" w:cs="宋体"/>
                <w:sz w:val="24"/>
              </w:rPr>
            </w:pPr>
            <w:r>
              <w:rPr>
                <w:rFonts w:hint="eastAsia" w:ascii="宋体" w:hAnsi="宋体" w:cs="宋体"/>
                <w:sz w:val="24"/>
              </w:rPr>
              <w:t>金额（万元）</w:t>
            </w:r>
          </w:p>
        </w:tc>
        <w:tc>
          <w:tcPr>
            <w:tcW w:w="2079" w:type="dxa"/>
            <w:vAlign w:val="center"/>
          </w:tcPr>
          <w:p>
            <w:pPr>
              <w:spacing w:line="360" w:lineRule="auto"/>
              <w:jc w:val="center"/>
              <w:rPr>
                <w:rFonts w:ascii="宋体" w:hAnsi="宋体" w:cs="宋体"/>
                <w:sz w:val="24"/>
              </w:rPr>
            </w:pPr>
            <w:r>
              <w:rPr>
                <w:rFonts w:hint="eastAsia" w:ascii="宋体" w:hAnsi="宋体" w:cs="宋体"/>
                <w:sz w:val="24"/>
              </w:rPr>
              <w:t>货物招标</w:t>
            </w:r>
          </w:p>
        </w:tc>
        <w:tc>
          <w:tcPr>
            <w:tcW w:w="1888" w:type="dxa"/>
            <w:vAlign w:val="center"/>
          </w:tcPr>
          <w:p>
            <w:pPr>
              <w:spacing w:line="360" w:lineRule="auto"/>
              <w:jc w:val="center"/>
              <w:rPr>
                <w:rFonts w:ascii="宋体" w:hAnsi="宋体" w:cs="宋体"/>
                <w:sz w:val="24"/>
              </w:rPr>
            </w:pPr>
            <w:r>
              <w:rPr>
                <w:rFonts w:hint="eastAsia" w:ascii="宋体" w:hAnsi="宋体" w:cs="宋体"/>
                <w:sz w:val="24"/>
              </w:rPr>
              <w:t>服务招标</w:t>
            </w:r>
          </w:p>
        </w:tc>
        <w:tc>
          <w:tcPr>
            <w:tcW w:w="2035" w:type="dxa"/>
            <w:vAlign w:val="center"/>
          </w:tcPr>
          <w:p>
            <w:pPr>
              <w:spacing w:line="360" w:lineRule="auto"/>
              <w:jc w:val="center"/>
              <w:rPr>
                <w:rFonts w:ascii="宋体" w:hAnsi="宋体" w:cs="宋体"/>
                <w:sz w:val="24"/>
              </w:rPr>
            </w:pPr>
            <w:r>
              <w:rPr>
                <w:rFonts w:hint="eastAsia" w:ascii="宋体" w:hAnsi="宋体" w:cs="宋体"/>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537" w:type="dxa"/>
          </w:tcPr>
          <w:p>
            <w:pPr>
              <w:spacing w:line="360" w:lineRule="auto"/>
              <w:jc w:val="center"/>
              <w:rPr>
                <w:rFonts w:ascii="宋体" w:hAnsi="宋体" w:cs="宋体"/>
                <w:sz w:val="24"/>
              </w:rPr>
            </w:pPr>
            <w:r>
              <w:rPr>
                <w:rFonts w:hint="eastAsia" w:ascii="宋体" w:hAnsi="宋体" w:cs="宋体"/>
                <w:sz w:val="24"/>
              </w:rPr>
              <w:t>100以下</w:t>
            </w:r>
          </w:p>
        </w:tc>
        <w:tc>
          <w:tcPr>
            <w:tcW w:w="2079" w:type="dxa"/>
          </w:tcPr>
          <w:p>
            <w:pPr>
              <w:spacing w:line="360" w:lineRule="auto"/>
              <w:jc w:val="center"/>
              <w:rPr>
                <w:rFonts w:ascii="宋体" w:hAnsi="宋体" w:cs="宋体"/>
                <w:sz w:val="24"/>
              </w:rPr>
            </w:pPr>
            <w:r>
              <w:rPr>
                <w:rFonts w:hint="eastAsia" w:ascii="宋体" w:hAnsi="宋体" w:cs="宋体"/>
                <w:sz w:val="24"/>
              </w:rPr>
              <w:t>1.5%</w:t>
            </w:r>
          </w:p>
        </w:tc>
        <w:tc>
          <w:tcPr>
            <w:tcW w:w="1888" w:type="dxa"/>
          </w:tcPr>
          <w:p>
            <w:pPr>
              <w:spacing w:line="360" w:lineRule="auto"/>
              <w:jc w:val="center"/>
              <w:rPr>
                <w:rFonts w:ascii="宋体" w:hAnsi="宋体" w:cs="宋体"/>
                <w:sz w:val="24"/>
              </w:rPr>
            </w:pPr>
            <w:r>
              <w:rPr>
                <w:rFonts w:hint="eastAsia" w:ascii="宋体" w:hAnsi="宋体" w:cs="宋体"/>
                <w:sz w:val="24"/>
              </w:rPr>
              <w:t>1.5%</w:t>
            </w:r>
          </w:p>
        </w:tc>
        <w:tc>
          <w:tcPr>
            <w:tcW w:w="2035" w:type="dxa"/>
          </w:tcPr>
          <w:p>
            <w:pPr>
              <w:spacing w:line="360" w:lineRule="auto"/>
              <w:jc w:val="center"/>
              <w:rPr>
                <w:rFonts w:ascii="宋体" w:hAnsi="宋体" w:cs="宋体"/>
                <w:sz w:val="24"/>
              </w:rPr>
            </w:pPr>
            <w:r>
              <w:rPr>
                <w:rFonts w:hint="eastAsia" w:ascii="宋体" w:hAnsi="宋体" w:cs="宋体"/>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37" w:type="dxa"/>
          </w:tcPr>
          <w:p>
            <w:pPr>
              <w:spacing w:line="360" w:lineRule="auto"/>
              <w:jc w:val="center"/>
              <w:rPr>
                <w:rFonts w:ascii="宋体" w:hAnsi="宋体" w:cs="宋体"/>
                <w:sz w:val="24"/>
              </w:rPr>
            </w:pPr>
            <w:r>
              <w:rPr>
                <w:rFonts w:hint="eastAsia" w:ascii="宋体" w:hAnsi="宋体" w:cs="宋体"/>
                <w:sz w:val="24"/>
              </w:rPr>
              <w:t>100-500</w:t>
            </w:r>
          </w:p>
        </w:tc>
        <w:tc>
          <w:tcPr>
            <w:tcW w:w="2079" w:type="dxa"/>
          </w:tcPr>
          <w:p>
            <w:pPr>
              <w:spacing w:line="360" w:lineRule="auto"/>
              <w:jc w:val="center"/>
              <w:rPr>
                <w:rFonts w:ascii="宋体" w:hAnsi="宋体" w:cs="宋体"/>
                <w:sz w:val="24"/>
              </w:rPr>
            </w:pPr>
            <w:r>
              <w:rPr>
                <w:rFonts w:hint="eastAsia" w:ascii="宋体" w:hAnsi="宋体" w:cs="宋体"/>
                <w:sz w:val="24"/>
              </w:rPr>
              <w:t>1.1%</w:t>
            </w:r>
          </w:p>
        </w:tc>
        <w:tc>
          <w:tcPr>
            <w:tcW w:w="1888" w:type="dxa"/>
          </w:tcPr>
          <w:p>
            <w:pPr>
              <w:spacing w:line="360" w:lineRule="auto"/>
              <w:jc w:val="center"/>
              <w:rPr>
                <w:rFonts w:ascii="宋体" w:hAnsi="宋体" w:cs="宋体"/>
                <w:sz w:val="24"/>
              </w:rPr>
            </w:pPr>
            <w:r>
              <w:rPr>
                <w:rFonts w:hint="eastAsia" w:ascii="宋体" w:hAnsi="宋体" w:cs="宋体"/>
                <w:sz w:val="24"/>
              </w:rPr>
              <w:t>0.8%</w:t>
            </w:r>
          </w:p>
        </w:tc>
        <w:tc>
          <w:tcPr>
            <w:tcW w:w="2035" w:type="dxa"/>
          </w:tcPr>
          <w:p>
            <w:pPr>
              <w:spacing w:line="360" w:lineRule="auto"/>
              <w:jc w:val="center"/>
              <w:rPr>
                <w:rFonts w:ascii="宋体" w:hAnsi="宋体" w:cs="宋体"/>
                <w:sz w:val="24"/>
              </w:rPr>
            </w:pPr>
            <w:r>
              <w:rPr>
                <w:rFonts w:hint="eastAsia" w:ascii="宋体" w:hAnsi="宋体" w:cs="宋体"/>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537" w:type="dxa"/>
          </w:tcPr>
          <w:p>
            <w:pPr>
              <w:spacing w:line="360" w:lineRule="auto"/>
              <w:jc w:val="center"/>
              <w:rPr>
                <w:rFonts w:ascii="宋体" w:hAnsi="宋体" w:cs="宋体"/>
                <w:sz w:val="24"/>
              </w:rPr>
            </w:pPr>
            <w:r>
              <w:rPr>
                <w:rFonts w:hint="eastAsia" w:ascii="宋体" w:hAnsi="宋体" w:cs="宋体"/>
                <w:sz w:val="24"/>
              </w:rPr>
              <w:t>500-1000</w:t>
            </w:r>
          </w:p>
        </w:tc>
        <w:tc>
          <w:tcPr>
            <w:tcW w:w="2079" w:type="dxa"/>
          </w:tcPr>
          <w:p>
            <w:pPr>
              <w:spacing w:line="360" w:lineRule="auto"/>
              <w:jc w:val="center"/>
              <w:rPr>
                <w:rFonts w:ascii="宋体" w:hAnsi="宋体" w:cs="宋体"/>
                <w:sz w:val="24"/>
              </w:rPr>
            </w:pPr>
            <w:r>
              <w:rPr>
                <w:rFonts w:hint="eastAsia" w:ascii="宋体" w:hAnsi="宋体" w:cs="宋体"/>
                <w:sz w:val="24"/>
              </w:rPr>
              <w:t>0.8%</w:t>
            </w:r>
          </w:p>
        </w:tc>
        <w:tc>
          <w:tcPr>
            <w:tcW w:w="1888" w:type="dxa"/>
          </w:tcPr>
          <w:p>
            <w:pPr>
              <w:spacing w:line="360" w:lineRule="auto"/>
              <w:jc w:val="center"/>
              <w:rPr>
                <w:rFonts w:ascii="宋体" w:hAnsi="宋体" w:cs="宋体"/>
                <w:sz w:val="24"/>
              </w:rPr>
            </w:pPr>
            <w:r>
              <w:rPr>
                <w:rFonts w:hint="eastAsia" w:ascii="宋体" w:hAnsi="宋体" w:cs="宋体"/>
                <w:sz w:val="24"/>
              </w:rPr>
              <w:t>0.45%</w:t>
            </w:r>
          </w:p>
        </w:tc>
        <w:tc>
          <w:tcPr>
            <w:tcW w:w="2035" w:type="dxa"/>
          </w:tcPr>
          <w:p>
            <w:pPr>
              <w:spacing w:line="360" w:lineRule="auto"/>
              <w:jc w:val="center"/>
              <w:rPr>
                <w:rFonts w:ascii="宋体" w:hAnsi="宋体" w:cs="宋体"/>
                <w:sz w:val="24"/>
              </w:rPr>
            </w:pPr>
            <w:r>
              <w:rPr>
                <w:rFonts w:hint="eastAsia" w:ascii="宋体" w:hAnsi="宋体" w:cs="宋体"/>
                <w:sz w:val="24"/>
              </w:rPr>
              <w:t>0.55％</w:t>
            </w:r>
          </w:p>
        </w:tc>
      </w:tr>
    </w:tbl>
    <w:p>
      <w:pPr>
        <w:pStyle w:val="44"/>
        <w:ind w:firstLine="480"/>
        <w:rPr>
          <w:lang w:val="zh-CN"/>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二</w:t>
      </w:r>
      <w:r>
        <w:rPr>
          <w:rFonts w:hint="eastAsia" w:eastAsia="黑体"/>
          <w:bCs/>
          <w:color w:val="000000" w:themeColor="text1"/>
          <w:sz w:val="24"/>
          <w14:textFill>
            <w14:solidFill>
              <w14:schemeClr w14:val="tx1"/>
            </w14:solidFill>
          </w14:textFill>
        </w:rPr>
        <w:t>、响应文件的编制</w:t>
      </w:r>
    </w:p>
    <w:p>
      <w:pPr>
        <w:spacing w:line="360" w:lineRule="exact"/>
        <w:ind w:left="420" w:hanging="420"/>
        <w:rPr>
          <w:bCs/>
          <w:color w:val="000000" w:themeColor="text1"/>
          <w:sz w:val="24"/>
          <w14:textFill>
            <w14:solidFill>
              <w14:schemeClr w14:val="tx1"/>
            </w14:solidFill>
          </w14:textFill>
        </w:rPr>
      </w:pPr>
      <w:bookmarkStart w:id="4" w:name="_Toc19815"/>
      <w:bookmarkStart w:id="5" w:name="_Toc239237112"/>
      <w:bookmarkStart w:id="6" w:name="_Toc358810972"/>
      <w:bookmarkStart w:id="7" w:name="_Toc229363105"/>
      <w:bookmarkStart w:id="8" w:name="_Toc232398876"/>
      <w:bookmarkStart w:id="9" w:name="_Toc205720376"/>
      <w:bookmarkStart w:id="10" w:name="_Toc118467468"/>
      <w:bookmarkStart w:id="11" w:name="_Toc244580128"/>
      <w:bookmarkStart w:id="12" w:name="_Toc203800462"/>
      <w:bookmarkStart w:id="13" w:name="_Toc232998963"/>
      <w:r>
        <w:rPr>
          <w:rFonts w:hint="eastAsia"/>
          <w:bCs/>
          <w:color w:val="000000" w:themeColor="text1"/>
          <w:sz w:val="24"/>
          <w14:textFill>
            <w14:solidFill>
              <w14:schemeClr w14:val="tx1"/>
            </w14:solidFill>
          </w14:textFill>
        </w:rPr>
        <w:t>5. 响应文件编制基本要求</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5.1响应文件以及与集中采购机构和采购人就有关磋商的所有来往函电均应使用简体中文。</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5.2供应商应认真阅读、并充分理解本文件的全部内容（包括所有的补充、修改内容），承诺并履行本文件中各项条款规定及要求。</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5.3响应文件应按本文件的全部内容，包括所有的补充通知及附件进行编制。供应商受邀参加本文件多个包磋商的，其响应文件的编制应按每包要求分别装订和封装。</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5.4如因供应商只填写和提供了本文件要求的部分内容和附件，磋商小组有权拒绝其补充和磋商。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5.5响应文件的组成</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不限于以下内容，应该有的必须提供，如未提供，磋商小组有权拒绝其响应文件：</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1）磋商函 (附件1)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2）磋商报价表(附件2)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3）资格性符合性检查对照表(附件3)；</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4）技术响应、偏离情况说明表(附件4)；</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5）合同草案条款响应、偏离情况说明表(附件5)；</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6）法人（负责人）代表授权书（附件6）；</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7）法人或者其他组织的营业执照等证明文件，自然人的身份证明(附件7)；</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8）财务状况报告，依法缴纳税收和社会保障资金的相关材料(附件8)；</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9）具备履行合同所必需的设备和专业技术能力的证明材料(附件9)；</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10）参加政府采购活动前3年内在经营活动中没有重大违法记录的书面声明(附件10)；</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11）未被列入“信用中国”网站(www.creditchina. gov.cn)失信被执行人、税收违法黑名单、政府采购严重违法失信行为记录名单的网页打印件(附件11)。</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12）《中小企业声明函》、《残疾人福利性单位声明函》、属于监狱企业的证明文件等（如果有的话）(附件12)。</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13）本文件要求提供的其他资格证明文件及资料。</w:t>
      </w:r>
    </w:p>
    <w:p>
      <w:pPr>
        <w:numPr>
          <w:ilvl w:val="0"/>
          <w:numId w:val="3"/>
        </w:num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计量单位：除技术要求中另有规定外，本文件所使用的计量单位均应采用国家法定计量单位。</w:t>
      </w:r>
    </w:p>
    <w:p>
      <w:pPr>
        <w:numPr>
          <w:ilvl w:val="0"/>
          <w:numId w:val="3"/>
        </w:numPr>
        <w:spacing w:line="360" w:lineRule="exact"/>
        <w:ind w:left="420" w:hanging="420"/>
        <w:rPr>
          <w:bCs/>
          <w:color w:val="FF0000"/>
          <w:sz w:val="24"/>
        </w:rPr>
      </w:pPr>
      <w:r>
        <w:rPr>
          <w:rFonts w:hint="eastAsia"/>
          <w:b/>
          <w:bCs/>
          <w:color w:val="FF0000"/>
          <w:sz w:val="24"/>
        </w:rPr>
        <w:t>联合体投标：</w:t>
      </w:r>
      <w:r>
        <w:rPr>
          <w:rFonts w:hint="eastAsia"/>
          <w:bCs/>
          <w:color w:val="FF0000"/>
          <w:sz w:val="24"/>
        </w:rPr>
        <w:t>除非投标邀请中另有规定，不接受联合体投标。如果投标邀请中规定允许联合体投标的，则必须满足：</w:t>
      </w:r>
    </w:p>
    <w:p>
      <w:pPr>
        <w:pStyle w:val="120"/>
        <w:numPr>
          <w:ilvl w:val="0"/>
          <w:numId w:val="4"/>
        </w:numPr>
        <w:spacing w:line="360" w:lineRule="exact"/>
        <w:ind w:firstLineChars="0"/>
        <w:rPr>
          <w:bCs/>
          <w:color w:val="FF0000"/>
          <w:sz w:val="24"/>
        </w:rPr>
      </w:pPr>
      <w:r>
        <w:rPr>
          <w:rFonts w:hint="eastAsia"/>
          <w:bCs/>
          <w:color w:val="FF0000"/>
          <w:sz w:val="24"/>
        </w:rPr>
        <w:t>以联合体形式参加投标的，联合体各方均必须符合《政府采购法》第二十二条第（一）至（六）项规定。</w:t>
      </w:r>
    </w:p>
    <w:p>
      <w:pPr>
        <w:pStyle w:val="120"/>
        <w:numPr>
          <w:ilvl w:val="0"/>
          <w:numId w:val="4"/>
        </w:numPr>
        <w:spacing w:line="360" w:lineRule="exact"/>
        <w:ind w:firstLineChars="0"/>
        <w:rPr>
          <w:bCs/>
          <w:color w:val="FF0000"/>
          <w:sz w:val="24"/>
        </w:rPr>
      </w:pPr>
      <w:r>
        <w:rPr>
          <w:rFonts w:hint="eastAsia"/>
          <w:bCs/>
          <w:color w:val="FF0000"/>
          <w:sz w:val="24"/>
        </w:rPr>
        <w:t>联合体投标的，必须提供各方签订的联合投标协议，明确约定各方承担的工作和相应的责任。联合体各方签订联合投标协议后，不得再以自己名义单独在同一项目（或包组）中投标，也不得组成新的联合体参加同一项目（或包组）投标。</w:t>
      </w:r>
    </w:p>
    <w:p>
      <w:pPr>
        <w:pStyle w:val="120"/>
        <w:numPr>
          <w:ilvl w:val="0"/>
          <w:numId w:val="4"/>
        </w:numPr>
        <w:spacing w:line="360" w:lineRule="exact"/>
        <w:ind w:firstLineChars="0"/>
        <w:rPr>
          <w:bCs/>
          <w:color w:val="FF0000"/>
          <w:sz w:val="24"/>
        </w:rPr>
      </w:pPr>
      <w:r>
        <w:rPr>
          <w:rFonts w:hint="eastAsia"/>
          <w:bCs/>
          <w:color w:val="FF0000"/>
          <w:sz w:val="24"/>
        </w:rPr>
        <w:t>联合体中有同类资质的投标人按照联合体分工承担相同工作的，应当按照资质等级较低的投标人确定资质等级。</w:t>
      </w:r>
    </w:p>
    <w:p>
      <w:pPr>
        <w:pStyle w:val="120"/>
        <w:numPr>
          <w:ilvl w:val="0"/>
          <w:numId w:val="4"/>
        </w:numPr>
        <w:spacing w:line="360" w:lineRule="exact"/>
        <w:ind w:firstLineChars="0"/>
        <w:rPr>
          <w:bCs/>
          <w:color w:val="FF0000"/>
          <w:sz w:val="24"/>
        </w:rPr>
      </w:pPr>
      <w:r>
        <w:rPr>
          <w:rFonts w:hint="eastAsia"/>
          <w:bCs/>
          <w:color w:val="FF0000"/>
          <w:sz w:val="24"/>
        </w:rPr>
        <w:t>联合体投标的，可以由联合体中的一方或者共同提交投标保证金，以一方名义提交投标保证金的，对联合体各方均具有约束力。</w:t>
      </w:r>
    </w:p>
    <w:p>
      <w:pPr>
        <w:pStyle w:val="120"/>
        <w:numPr>
          <w:ilvl w:val="0"/>
          <w:numId w:val="4"/>
        </w:numPr>
        <w:spacing w:line="360" w:lineRule="exact"/>
        <w:ind w:firstLineChars="0"/>
        <w:rPr>
          <w:bCs/>
          <w:color w:val="FF0000"/>
          <w:sz w:val="24"/>
        </w:rPr>
      </w:pPr>
      <w:r>
        <w:rPr>
          <w:bCs/>
          <w:color w:val="FF0000"/>
          <w:sz w:val="24"/>
        </w:rPr>
        <w:t>联合体中标的，联合体各方应当共同与</w:t>
      </w:r>
      <w:r>
        <w:rPr>
          <w:rFonts w:hint="eastAsia"/>
          <w:bCs/>
          <w:color w:val="FF0000"/>
          <w:sz w:val="24"/>
        </w:rPr>
        <w:t>采购</w:t>
      </w:r>
      <w:r>
        <w:rPr>
          <w:bCs/>
          <w:color w:val="FF0000"/>
          <w:sz w:val="24"/>
        </w:rPr>
        <w:t>人签订合同。</w:t>
      </w:r>
    </w:p>
    <w:p>
      <w:pPr>
        <w:pStyle w:val="120"/>
        <w:numPr>
          <w:ilvl w:val="0"/>
          <w:numId w:val="4"/>
        </w:numPr>
        <w:spacing w:line="360" w:lineRule="exact"/>
        <w:ind w:firstLineChars="0"/>
        <w:rPr>
          <w:bCs/>
          <w:color w:val="FF0000"/>
          <w:sz w:val="24"/>
        </w:rPr>
      </w:pPr>
      <w:r>
        <w:rPr>
          <w:rFonts w:hint="eastAsia"/>
          <w:bCs/>
          <w:color w:val="FF0000"/>
          <w:sz w:val="24"/>
        </w:rPr>
        <w:t>投标人为联合体，应提交联合体各方的资格证明文件、联合投标协议并注明主体方及各方拟承担的工作和责任。否则，将导致其投标无效。</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三、响应文件有效期</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 本项目磋商内容自磋商之日算起</w:t>
      </w:r>
      <w:r>
        <w:rPr>
          <w:rFonts w:hint="eastAsia"/>
          <w:bCs/>
          <w:color w:val="000000" w:themeColor="text1"/>
          <w:sz w:val="24"/>
          <w:highlight w:val="yellow"/>
          <w14:textFill>
            <w14:solidFill>
              <w14:schemeClr w14:val="tx1"/>
            </w14:solidFill>
          </w14:textFill>
        </w:rPr>
        <w:t>90日</w:t>
      </w:r>
      <w:r>
        <w:rPr>
          <w:rFonts w:hint="eastAsia"/>
          <w:bCs/>
          <w:color w:val="000000" w:themeColor="text1"/>
          <w:sz w:val="24"/>
          <w14:textFill>
            <w14:solidFill>
              <w14:schemeClr w14:val="tx1"/>
            </w14:solidFill>
          </w14:textFill>
        </w:rPr>
        <w:t>历日内保持有效。磋商结束后，在有效期内供应商不得改变磋商报价、服务期及承诺的全部义务。响应文件有效期比本文件规定短的，磋商小组将视响应文件无效予以拒绝。</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 在特殊情况下，在原磋商有效期满之前，采购代理机构可向供应商提出延长磋商有效期的要求。这种要求与答复均应采用书面形式。供应商可以拒绝采购代理机构的要求，但其响应文件在原有效期期满后将不再有效。同意延长磋商有效期的供应商不允许修改其响应文件。</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四、报价要求</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 报价以人民币报价。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 对于本文件中未列明，而供应商认为必需的费用也需列入总报价。在合同实施时，采购人不予支付成交供应商没有列入的项目费用，并认为此项目的费用已包括在总报价中。</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 成交供应商负责本项目所需的售后服务等全部工作，文件另有规定的除外。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 供应商要按报价表(统一格式)的内容填写报价及其他事项，并加盖供应商公章和全权代表签章。</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 各供应商按照磋商文件的要求及磋商文件提供的报价表进行报价，价格应包含满足磋商文件要求的所有服务内容；</w:t>
      </w:r>
    </w:p>
    <w:p>
      <w:pPr>
        <w:spacing w:line="360" w:lineRule="exact"/>
        <w:ind w:left="420" w:hanging="420"/>
        <w:rPr>
          <w:b/>
          <w:sz w:val="24"/>
          <w:highlight w:val="yellow"/>
        </w:rPr>
      </w:pPr>
      <w:r>
        <w:rPr>
          <w:rFonts w:hint="eastAsia"/>
          <w:b/>
          <w:sz w:val="24"/>
          <w:highlight w:val="yellow"/>
        </w:rPr>
        <w:t>注：在磋商过程中，报价人将进行第二轮报价，第二轮报价为最终报价。第二轮报价只能下浮，不得上浮，否则商务标得0分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 xml:space="preserve">15. 不接受任何选择报价，只允许有一个报价和一个方案，任何有选择性的报价和方案将不予接受。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16. 磋商报价有算术错误的，磋商小组按以下原则对磋商报价进行修正，修正的价格经供应商书面确认后具有约束力。供应商不接受修正价格的，其磋商无效。</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1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①</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磋商文件中的大写金额与小写金额不一致的，以大写金额为准；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fldChar w:fldCharType="begin"/>
      </w:r>
      <w:r>
        <w:rPr>
          <w:rFonts w:hint="eastAsia"/>
          <w:bCs/>
          <w:color w:val="000000" w:themeColor="text1"/>
          <w:sz w:val="24"/>
          <w14:textFill>
            <w14:solidFill>
              <w14:schemeClr w14:val="tx1"/>
            </w14:solidFill>
          </w14:textFill>
        </w:rPr>
        <w:instrText xml:space="preserve"> = 2 \* GB3 \* MERGEFORMAT </w:instrText>
      </w:r>
      <w:r>
        <w:rPr>
          <w:rFonts w:hint="eastAsia"/>
          <w:bCs/>
          <w:color w:val="000000" w:themeColor="text1"/>
          <w:sz w:val="24"/>
          <w14:textFill>
            <w14:solidFill>
              <w14:schemeClr w14:val="tx1"/>
            </w14:solidFill>
          </w14:textFill>
        </w:rPr>
        <w:fldChar w:fldCharType="separate"/>
      </w:r>
      <w:r>
        <w:rPr>
          <w:rFonts w:hint="eastAsia"/>
          <w:bCs/>
          <w:color w:val="000000" w:themeColor="text1"/>
          <w:sz w:val="24"/>
          <w14:textFill>
            <w14:solidFill>
              <w14:schemeClr w14:val="tx1"/>
            </w14:solidFill>
          </w14:textFill>
        </w:rPr>
        <w:t>②</w:t>
      </w:r>
      <w:r>
        <w:rPr>
          <w:rFonts w:hint="eastAsia"/>
          <w:bCs/>
          <w:color w:val="000000" w:themeColor="text1"/>
          <w:sz w:val="24"/>
          <w14:textFill>
            <w14:solidFill>
              <w14:schemeClr w14:val="tx1"/>
            </w14:solidFill>
          </w14:textFill>
        </w:rPr>
        <w:fldChar w:fldCharType="end"/>
      </w:r>
      <w:r>
        <w:rPr>
          <w:rFonts w:hint="eastAsia"/>
          <w:bCs/>
          <w:color w:val="000000" w:themeColor="text1"/>
          <w:sz w:val="24"/>
          <w14:textFill>
            <w14:solidFill>
              <w14:schemeClr w14:val="tx1"/>
            </w14:solidFill>
          </w14:textFill>
        </w:rPr>
        <w:t>总价金额与依据单价计算出的结果不一致的，以单价金额为准修正总价，但单价金额小数点有明显错误的除外。</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17. 超过采购预算价的视为无效报价，最低报价不能作为成交的保证。</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五、响应文件的份数、封装和递交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 响应文件的份数和封装</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18.1响应文件一式叁份，其中正本一份，副本贰份,电子文件一份。</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18.2响应文件的信封上应写明:项目编号、项目名称、磋商内容、供应商名称。</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 响应文件的递交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19.1所有响应文件应于第一章“竞争性磋商邀请函”中规定的时间前递交到采购代理机构。</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 迟交的响应文件</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20.1采购代理机构将拒绝或原封退回在其规定的递交响应文件截止时间之后递交的任何响应文件。</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六、磋商小组的组成</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w:t>
      </w:r>
      <w:r>
        <w:rPr>
          <w:rFonts w:hint="eastAsia"/>
          <w:bCs/>
          <w:color w:val="000000" w:themeColor="text1"/>
          <w:sz w:val="24"/>
          <w:highlight w:val="yellow"/>
          <w14:textFill>
            <w14:solidFill>
              <w14:schemeClr w14:val="tx1"/>
            </w14:solidFill>
          </w14:textFill>
        </w:rPr>
        <w:t>磋商小组成员由外聘专家三名及以上（技术、经济、法律等方面）组成，外聘专家从阳新县政府采购专家库中随机抽取。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21.1磋商小组负责制定磋商文件、确定磋商供应商名单、响应文件的评审、磋商磋商、商务服务评议并评分、根据综合评分情况编写评审报告，协助处理质疑等工作。</w:t>
      </w:r>
    </w:p>
    <w:p>
      <w:pPr>
        <w:spacing w:line="360" w:lineRule="exact"/>
        <w:rPr>
          <w:rFonts w:eastAsia="黑体"/>
          <w:bCs/>
          <w:color w:val="000000" w:themeColor="text1"/>
          <w:sz w:val="24"/>
          <w14:textFill>
            <w14:solidFill>
              <w14:schemeClr w14:val="tx1"/>
            </w14:solidFill>
          </w14:textFill>
        </w:rPr>
      </w:pPr>
      <w:r>
        <w:rPr>
          <w:rFonts w:hint="eastAsia" w:eastAsia="黑体"/>
          <w:bCs/>
          <w:color w:val="000000" w:themeColor="text1"/>
          <w:sz w:val="24"/>
          <w14:textFill>
            <w14:solidFill>
              <w14:schemeClr w14:val="tx1"/>
            </w14:solidFill>
          </w14:textFill>
        </w:rPr>
        <w:t>七、磋商的步骤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22 供应商授权代表及其项目相关的商务技术人员按要求参加本项目磋商过程。磋商供应商授权代表及其商务技术人员按要求参加本项目磋商过程。参加磋商的供应商委托授权代表至少须有一名技术人员参加磋商。若磋商小组和授权代表磋商时，授权代表只能简单的回答"不知道"、"不清楚"等，该供应商的磋商将有可能被拒绝。</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 资格性审查</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23.1磋商小组验证各供应商代表或委托授权人的身份。供应商代表或委托授权人身份与响应文件不符的、响应文件未按要求加盖印章和签字的，磋商小组将拒绝该供应商参加磋商。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23.2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 第一轮磋商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24.1磋商小组将按照签到的顺序决定供应商的磋商顺序，并与单一供应商分别进行磋商。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24.3 响应文件的澄清和说明</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3）供应商可以对参加竞争性磋商项目的采购需求提出优化建议，并以书面提交磋商小组。</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24.4磋商小组按磋商文件设定的方法和标准确定供应商符合磋商文件要求的，该供应商即为合格的供应商。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24.6合格的供应商不足三家的，磋商小组、采购人在调整采购需求中的技术、服务要求以及合同草案条款后进行下一轮磋商。否则，本次磋商终止。</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25.磋商文件修正</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25.1磋商小组可根据磋商文件和磋商情况实质性变动采购需求中的技术、服务要求以及合同草案条款，但不得变动磋商文件中的其他内容。对磋商文件作出的实质性变动是磋商文件的有效组成部分。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25.2磋商小组将磋商文件的修改结果以书面形式通知参加磋商的供应商。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25.3供应商根据第一轮磋商情况和磋商文件修改书面通知，对原响应文件进行修正，并将修正文件签字（或盖章）后密封送交磋商小组。逾时不交的，视同放弃磋商。修正文件与响应文件同具法律效应。</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25.4对无法详细描述需求，需要供应商提供设计或者解决方案的项目，磋商小组可以根据采购人对需求确认情况，进行多轮磋商，直至采购人代表最终确认采购需求为止。</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 第二轮磋商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26.1磋商小组就修正后的磋商文件与供应商分别进行磋商。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26.2第二轮磋商结束后，实质性响应磋商文件及变动后磋商文件要求的供应商超过或不足三家的，按照上一轮磋商程序办理，以此类推。</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 最后报价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27.1磋商小组对磋商文件中能够详细列明采购标的的技术、服务要求的，在磋商结束后，所有继续参加磋商合格的供应商应在规定时间内提交最后报价。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27.3供应商的报价均超过了政府采购预算或报价未超过采购预算的供应商不足三家的，磋商活动终止。</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27.4最后报价文件应密封，并在规定的同一时间内提交。最后报价是供应商响应文件的有效组成部分。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27.5在提交最后报价之前，供应商可以根据磋商情况退出磋商。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 综合评议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28.1 磋商小组将按照磋商文件确定的评审办法对各供应商的响应文件进行商务服务评议和价格评议。</w:t>
      </w:r>
    </w:p>
    <w:p>
      <w:pPr>
        <w:widowControl/>
        <w:jc w:val="left"/>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28.2评审采用综合评分法，具体见“第四章评审办法及评审标准”。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29.非专门面向中小企业、监狱企业或残疾人福利性单位采购项目价格评议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29.3对小型、微型企业与大中型企业和其他自然人、法人或者其他组织组成联合体共同参加非专门面向中小企业的政府采购活动，联合协议中小型、微型企业的协议合同金额占协议合同总金额</w:t>
      </w:r>
      <w:r>
        <w:rPr>
          <w:rFonts w:hint="eastAsia"/>
          <w:bCs/>
          <w:color w:val="FF0000"/>
          <w:sz w:val="24"/>
          <w:highlight w:val="yellow"/>
        </w:rPr>
        <w:t>30%</w:t>
      </w:r>
      <w:r>
        <w:rPr>
          <w:rFonts w:hint="eastAsia"/>
          <w:bCs/>
          <w:color w:val="000000" w:themeColor="text1"/>
          <w:sz w:val="24"/>
          <w14:textFill>
            <w14:solidFill>
              <w14:schemeClr w14:val="tx1"/>
            </w14:solidFill>
          </w14:textFill>
        </w:rPr>
        <w:t>以上的，给予联合体《磋商须知前附表》确定比例进行价格扣除。联合体各方均为小型、微型企业的，给予联合体按《磋商须知前附表》确定比例进行价格扣除。</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29.4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30.磋商小组决定响应文件的响应性只根据响应文件本身的真实无误的内容，而不依据外部的证据，但响应文件有不真实不正确的内容时除外。</w:t>
      </w:r>
    </w:p>
    <w:p>
      <w:pPr>
        <w:spacing w:line="360" w:lineRule="exact"/>
        <w:ind w:left="420" w:hanging="420"/>
        <w:rPr>
          <w:bCs/>
          <w:color w:val="000000" w:themeColor="text1"/>
          <w:sz w:val="24"/>
          <w14:textFill>
            <w14:solidFill>
              <w14:schemeClr w14:val="tx1"/>
            </w14:solidFill>
          </w14:textFill>
        </w:rPr>
      </w:pP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八、确定成交供应商</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31.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32.采购人从评审报告提出的成交候选供应商中，按照排序由高到低的原则确定成交供应商。</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九、成交公告和质疑</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33.采购代理机构在成交供应商确定后，在财政部门指定的媒体上公告成交结果，同时向成交供应商发出成交通知书。公告期为一个工作日。</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相关供应商对成交结果、磋商过程有询问或质疑的，可在公告期届满之日起七个工作日内，依据政府采购相关规定，向采购人或采购代理机构提出询问或质疑，采购人或采购代理机构将按政府采购询问或质疑程序处理。质疑书应当包括下列主要内容：</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34.1质疑人的名称、地址、电话及联系人（法人或负责人授权代表）等；</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34.2质疑人法人（负责人）签章和单位公章；</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34.3具体的质疑事项及事实依据；</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34.4明确的请求和必要的证明材料；</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34.5以联合体形式参与磋商的，则必须联合体各方共同签署、盖章；</w:t>
      </w:r>
    </w:p>
    <w:p>
      <w:pPr>
        <w:spacing w:line="360" w:lineRule="exact"/>
        <w:ind w:left="420" w:hanging="420"/>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34.6提起质疑的日期。</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十、签订合同</w:t>
      </w:r>
    </w:p>
    <w:p>
      <w:pPr>
        <w:spacing w:line="360" w:lineRule="exact"/>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35.成交供应商应在成交通知书发出之日起三十日内与采购人签订供货（服务）合同</w:t>
      </w:r>
      <w:r>
        <w:rPr>
          <w:rFonts w:eastAsia="黑体"/>
          <w:bCs/>
          <w:color w:val="000000" w:themeColor="text1"/>
          <w:sz w:val="24"/>
          <w14:textFill>
            <w14:solidFill>
              <w14:schemeClr w14:val="tx1"/>
            </w14:solidFill>
          </w14:textFill>
        </w:rPr>
        <w:t>。</w:t>
      </w:r>
    </w:p>
    <w:p>
      <w:pPr>
        <w:spacing w:line="360" w:lineRule="exact"/>
        <w:rPr>
          <w:rFonts w:eastAsia="黑体"/>
          <w:bCs/>
          <w:color w:val="000000" w:themeColor="text1"/>
          <w:sz w:val="24"/>
          <w14:textFill>
            <w14:solidFill>
              <w14:schemeClr w14:val="tx1"/>
            </w14:solidFill>
          </w14:textFill>
        </w:rPr>
      </w:pPr>
      <w:r>
        <w:rPr>
          <w:rFonts w:eastAsia="黑体"/>
          <w:bCs/>
          <w:color w:val="000000" w:themeColor="text1"/>
          <w:sz w:val="24"/>
          <w14:textFill>
            <w14:solidFill>
              <w14:schemeClr w14:val="tx1"/>
            </w14:solidFill>
          </w14:textFill>
        </w:rPr>
        <w:t>十一、付款方式</w:t>
      </w:r>
    </w:p>
    <w:p>
      <w:pPr>
        <w:spacing w:line="360" w:lineRule="exact"/>
        <w:rPr>
          <w:rFonts w:eastAsia="黑体"/>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36.</w:t>
      </w:r>
      <w:r>
        <w:rPr>
          <w:bCs/>
          <w:sz w:val="24"/>
        </w:rPr>
        <w:t>货物（服务）交付验收合格后，采购人办理相应金额的支付手续。</w:t>
      </w:r>
    </w:p>
    <w:p>
      <w:pPr>
        <w:spacing w:line="360" w:lineRule="auto"/>
        <w:rPr>
          <w:rFonts w:eastAsia="黑体"/>
          <w:bCs/>
          <w:sz w:val="24"/>
        </w:rPr>
      </w:pPr>
      <w:bookmarkStart w:id="14" w:name="_Toc30869"/>
      <w:r>
        <w:rPr>
          <w:rFonts w:eastAsia="黑体"/>
          <w:bCs/>
          <w:sz w:val="24"/>
        </w:rPr>
        <w:t>十二、适用法律</w:t>
      </w:r>
    </w:p>
    <w:p>
      <w:pPr>
        <w:adjustRightInd w:val="0"/>
        <w:snapToGrid w:val="0"/>
        <w:spacing w:line="360" w:lineRule="auto"/>
        <w:ind w:left="360" w:hanging="360" w:hangingChars="150"/>
        <w:rPr>
          <w:bCs/>
          <w:sz w:val="24"/>
        </w:rPr>
      </w:pPr>
      <w:r>
        <w:rPr>
          <w:rFonts w:hint="eastAsia"/>
          <w:bCs/>
          <w:sz w:val="24"/>
        </w:rPr>
        <w:t>37</w:t>
      </w:r>
      <w:r>
        <w:rPr>
          <w:bCs/>
          <w:sz w:val="24"/>
        </w:rPr>
        <w:t>.采购当事人的一切活动均适用于《中华人民共和国政府采购法》、《中华人民共和国政府采购法实施条例》、《政府采购非招标采购方式管理办法》</w:t>
      </w:r>
      <w:r>
        <w:rPr>
          <w:rFonts w:hint="eastAsia"/>
          <w:bCs/>
          <w:sz w:val="24"/>
        </w:rPr>
        <w:t>、《政府采购竞争性磋商采购方式管理暂行办法》</w:t>
      </w:r>
      <w:r>
        <w:rPr>
          <w:bCs/>
          <w:sz w:val="24"/>
        </w:rPr>
        <w:t>及相关法规。</w:t>
      </w:r>
    </w:p>
    <w:p>
      <w:pPr>
        <w:pStyle w:val="45"/>
        <w:rPr>
          <w:rFonts w:ascii="Times New Roman" w:hAnsi="Times New Roman" w:cs="Times New Roman"/>
          <w:bCs/>
          <w:szCs w:val="24"/>
        </w:rPr>
      </w:pPr>
    </w:p>
    <w:p>
      <w:pPr>
        <w:rPr>
          <w:b/>
          <w:kern w:val="0"/>
          <w:sz w:val="36"/>
          <w:szCs w:val="36"/>
          <w:lang w:bidi="ar"/>
        </w:rPr>
      </w:pPr>
    </w:p>
    <w:p>
      <w:pPr>
        <w:rPr>
          <w:b/>
          <w:kern w:val="0"/>
          <w:sz w:val="36"/>
          <w:szCs w:val="36"/>
          <w:lang w:bidi="ar"/>
        </w:rPr>
      </w:pPr>
      <w:r>
        <w:rPr>
          <w:rFonts w:hint="eastAsia"/>
          <w:b/>
          <w:kern w:val="0"/>
          <w:sz w:val="36"/>
          <w:szCs w:val="36"/>
          <w:lang w:bidi="ar"/>
        </w:rPr>
        <w:br w:type="page"/>
      </w:r>
    </w:p>
    <w:p>
      <w:pPr>
        <w:jc w:val="center"/>
        <w:outlineLvl w:val="0"/>
        <w:rPr>
          <w:b/>
          <w:kern w:val="0"/>
          <w:sz w:val="36"/>
          <w:szCs w:val="36"/>
          <w:lang w:val="zh-CN" w:bidi="ar"/>
        </w:rPr>
      </w:pPr>
      <w:bookmarkStart w:id="15" w:name="_Toc8325"/>
      <w:r>
        <w:rPr>
          <w:rFonts w:hint="eastAsia"/>
          <w:b/>
          <w:kern w:val="0"/>
          <w:sz w:val="36"/>
          <w:szCs w:val="36"/>
          <w:lang w:bidi="ar"/>
        </w:rPr>
        <w:t>第三章  采购货物（服务）技术规格、参数及要求</w:t>
      </w:r>
      <w:bookmarkEnd w:id="4"/>
      <w:bookmarkEnd w:id="14"/>
      <w:bookmarkEnd w:id="15"/>
    </w:p>
    <w:bookmarkEnd w:id="5"/>
    <w:bookmarkEnd w:id="6"/>
    <w:bookmarkEnd w:id="7"/>
    <w:bookmarkEnd w:id="8"/>
    <w:bookmarkEnd w:id="9"/>
    <w:bookmarkEnd w:id="10"/>
    <w:bookmarkEnd w:id="11"/>
    <w:bookmarkEnd w:id="12"/>
    <w:bookmarkEnd w:id="13"/>
    <w:p>
      <w:pPr>
        <w:rPr>
          <w:b/>
          <w:sz w:val="32"/>
          <w:szCs w:val="32"/>
        </w:rPr>
      </w:pPr>
      <w:r>
        <w:rPr>
          <w:rFonts w:hint="eastAsia"/>
          <w:b/>
          <w:sz w:val="32"/>
          <w:szCs w:val="32"/>
        </w:rPr>
        <w:t>一、采购需求</w:t>
      </w:r>
    </w:p>
    <w:p>
      <w:pPr>
        <w:tabs>
          <w:tab w:val="left" w:pos="1021"/>
        </w:tabs>
        <w:adjustRightInd w:val="0"/>
        <w:snapToGrid w:val="0"/>
        <w:spacing w:line="360" w:lineRule="auto"/>
        <w:ind w:firstLine="480" w:firstLineChars="200"/>
        <w:rPr>
          <w:rFonts w:eastAsiaTheme="minorEastAsia"/>
          <w:bCs/>
          <w:sz w:val="24"/>
          <w:lang w:val="zh-CN"/>
        </w:rPr>
      </w:pPr>
      <w:bookmarkStart w:id="16" w:name="_Toc19120"/>
    </w:p>
    <w:p>
      <w:pPr>
        <w:tabs>
          <w:tab w:val="left" w:pos="1021"/>
        </w:tabs>
        <w:adjustRightInd w:val="0"/>
        <w:snapToGrid w:val="0"/>
        <w:spacing w:line="360" w:lineRule="auto"/>
        <w:ind w:firstLine="480" w:firstLineChars="200"/>
        <w:rPr>
          <w:rFonts w:eastAsiaTheme="minorEastAsia"/>
          <w:bCs/>
          <w:sz w:val="24"/>
          <w:lang w:val="zh-CN"/>
        </w:rPr>
      </w:pPr>
      <w:r>
        <w:rPr>
          <w:rFonts w:eastAsiaTheme="minorEastAsia"/>
          <w:bCs/>
          <w:sz w:val="24"/>
          <w:lang w:val="zh-CN"/>
        </w:rPr>
        <w:t>以</w:t>
      </w:r>
      <w:r>
        <w:rPr>
          <w:rFonts w:hint="eastAsia" w:eastAsiaTheme="minorEastAsia"/>
          <w:bCs/>
          <w:sz w:val="24"/>
          <w:lang w:val="zh-CN"/>
        </w:rPr>
        <w:t>阳新县洋港镇崩山村关停煤矿</w:t>
      </w:r>
      <w:r>
        <w:rPr>
          <w:rFonts w:eastAsiaTheme="minorEastAsia"/>
          <w:bCs/>
          <w:sz w:val="24"/>
          <w:lang w:val="zh-CN"/>
        </w:rPr>
        <w:t>完整水文地质单元为对象，</w:t>
      </w:r>
      <w:r>
        <w:rPr>
          <w:rFonts w:hint="eastAsia" w:eastAsiaTheme="minorEastAsia"/>
          <w:bCs/>
          <w:sz w:val="24"/>
          <w:lang w:val="zh-CN"/>
        </w:rPr>
        <w:t>开展水文地质勘察、</w:t>
      </w:r>
      <w:r>
        <w:rPr>
          <w:rFonts w:eastAsiaTheme="minorEastAsia"/>
          <w:bCs/>
          <w:sz w:val="24"/>
          <w:lang w:val="zh-CN"/>
        </w:rPr>
        <w:t>地下水环境状况</w:t>
      </w:r>
      <w:r>
        <w:rPr>
          <w:rFonts w:hint="eastAsia" w:eastAsiaTheme="minorEastAsia"/>
          <w:bCs/>
          <w:sz w:val="24"/>
          <w:lang w:val="zh-CN"/>
        </w:rPr>
        <w:t>补充</w:t>
      </w:r>
      <w:r>
        <w:rPr>
          <w:rFonts w:eastAsiaTheme="minorEastAsia"/>
          <w:bCs/>
          <w:sz w:val="24"/>
          <w:lang w:val="zh-CN"/>
        </w:rPr>
        <w:t>调查</w:t>
      </w:r>
      <w:r>
        <w:rPr>
          <w:rFonts w:hint="eastAsia" w:eastAsiaTheme="minorEastAsia"/>
          <w:bCs/>
          <w:sz w:val="24"/>
          <w:lang w:val="zh-CN"/>
        </w:rPr>
        <w:t>和风险评估</w:t>
      </w:r>
      <w:r>
        <w:rPr>
          <w:rFonts w:eastAsiaTheme="minorEastAsia"/>
          <w:bCs/>
          <w:sz w:val="24"/>
          <w:lang w:val="zh-CN"/>
        </w:rPr>
        <w:t>等，</w:t>
      </w:r>
      <w:r>
        <w:rPr>
          <w:rFonts w:hint="eastAsia" w:eastAsiaTheme="minorEastAsia"/>
          <w:bCs/>
          <w:sz w:val="24"/>
          <w:lang w:val="zh-CN"/>
        </w:rPr>
        <w:t>编制</w:t>
      </w:r>
      <w:r>
        <w:rPr>
          <w:rFonts w:eastAsiaTheme="minorEastAsia"/>
          <w:bCs/>
          <w:sz w:val="24"/>
          <w:lang w:val="zh-CN"/>
        </w:rPr>
        <w:t>地下水环境现状</w:t>
      </w:r>
      <w:r>
        <w:rPr>
          <w:rFonts w:hint="eastAsia" w:eastAsiaTheme="minorEastAsia"/>
          <w:bCs/>
          <w:sz w:val="24"/>
          <w:lang w:val="zh-CN"/>
        </w:rPr>
        <w:t>补充调查和风险评估报告。</w:t>
      </w:r>
    </w:p>
    <w:p>
      <w:pPr>
        <w:tabs>
          <w:tab w:val="left" w:pos="1021"/>
        </w:tabs>
        <w:adjustRightInd w:val="0"/>
        <w:snapToGrid w:val="0"/>
        <w:spacing w:line="360" w:lineRule="auto"/>
        <w:ind w:firstLine="480" w:firstLineChars="200"/>
        <w:rPr>
          <w:rFonts w:eastAsiaTheme="minorEastAsia"/>
          <w:bCs/>
          <w:sz w:val="24"/>
          <w:lang w:val="zh-CN"/>
        </w:rPr>
      </w:pPr>
      <w:r>
        <w:rPr>
          <w:rFonts w:hint="eastAsia" w:eastAsiaTheme="minorEastAsia"/>
          <w:bCs/>
          <w:sz w:val="24"/>
          <w:lang w:val="zh-CN"/>
        </w:rPr>
        <w:t>具体工作内容如下：</w:t>
      </w:r>
    </w:p>
    <w:p>
      <w:pPr>
        <w:pStyle w:val="120"/>
        <w:numPr>
          <w:ilvl w:val="0"/>
          <w:numId w:val="5"/>
        </w:numPr>
        <w:tabs>
          <w:tab w:val="left" w:pos="1021"/>
        </w:tabs>
        <w:adjustRightInd w:val="0"/>
        <w:snapToGrid w:val="0"/>
        <w:spacing w:line="360" w:lineRule="auto"/>
        <w:ind w:firstLineChars="0"/>
        <w:rPr>
          <w:rFonts w:eastAsiaTheme="minorEastAsia"/>
          <w:bCs/>
          <w:sz w:val="24"/>
          <w:szCs w:val="24"/>
          <w:lang w:val="zh-CN"/>
        </w:rPr>
      </w:pPr>
      <w:r>
        <w:rPr>
          <w:rFonts w:hint="eastAsia" w:eastAsiaTheme="minorEastAsia"/>
          <w:bCs/>
          <w:sz w:val="24"/>
          <w:szCs w:val="24"/>
          <w:lang w:val="zh-CN"/>
        </w:rPr>
        <w:t>水文地质勘察</w:t>
      </w:r>
    </w:p>
    <w:p>
      <w:pPr>
        <w:tabs>
          <w:tab w:val="left" w:pos="1021"/>
        </w:tabs>
        <w:adjustRightInd w:val="0"/>
        <w:snapToGrid w:val="0"/>
        <w:spacing w:line="360" w:lineRule="auto"/>
        <w:ind w:firstLine="480" w:firstLineChars="200"/>
        <w:rPr>
          <w:rFonts w:eastAsiaTheme="minorEastAsia"/>
          <w:bCs/>
          <w:sz w:val="24"/>
          <w:lang w:val="zh-CN"/>
        </w:rPr>
      </w:pPr>
      <w:r>
        <w:rPr>
          <w:rFonts w:hint="eastAsia" w:eastAsiaTheme="minorEastAsia"/>
          <w:bCs/>
          <w:sz w:val="24"/>
          <w:lang w:val="zh-CN"/>
        </w:rPr>
        <w:t>以元坑垅煤矿和大石磊煤矿为对象，开展调查范围内1:2000水文地质条件勘察，查明调查范围内废弃矿洞及地下水分布情况，研究其地下废水来源及成因机理，编制水文地质勘察报告；</w:t>
      </w:r>
    </w:p>
    <w:p>
      <w:pPr>
        <w:pStyle w:val="120"/>
        <w:numPr>
          <w:ilvl w:val="0"/>
          <w:numId w:val="5"/>
        </w:numPr>
        <w:tabs>
          <w:tab w:val="left" w:pos="1021"/>
        </w:tabs>
        <w:adjustRightInd w:val="0"/>
        <w:snapToGrid w:val="0"/>
        <w:spacing w:line="360" w:lineRule="auto"/>
        <w:ind w:firstLineChars="0"/>
        <w:rPr>
          <w:rFonts w:eastAsiaTheme="minorEastAsia"/>
          <w:bCs/>
          <w:sz w:val="24"/>
          <w:szCs w:val="24"/>
          <w:lang w:val="zh-CN"/>
        </w:rPr>
      </w:pPr>
      <w:r>
        <w:rPr>
          <w:rFonts w:eastAsiaTheme="minorEastAsia"/>
          <w:bCs/>
          <w:sz w:val="24"/>
          <w:szCs w:val="24"/>
          <w:lang w:val="zh-CN"/>
        </w:rPr>
        <w:t>地下水环境状况</w:t>
      </w:r>
      <w:r>
        <w:rPr>
          <w:rFonts w:hint="eastAsia" w:eastAsiaTheme="minorEastAsia"/>
          <w:bCs/>
          <w:sz w:val="24"/>
          <w:szCs w:val="24"/>
          <w:lang w:val="zh-CN"/>
        </w:rPr>
        <w:t>补充</w:t>
      </w:r>
      <w:r>
        <w:rPr>
          <w:rFonts w:eastAsiaTheme="minorEastAsia"/>
          <w:bCs/>
          <w:sz w:val="24"/>
          <w:szCs w:val="24"/>
          <w:lang w:val="zh-CN"/>
        </w:rPr>
        <w:t>调查</w:t>
      </w:r>
      <w:r>
        <w:rPr>
          <w:rFonts w:hint="eastAsia" w:eastAsiaTheme="minorEastAsia"/>
          <w:bCs/>
          <w:sz w:val="24"/>
          <w:szCs w:val="24"/>
          <w:lang w:val="zh-CN"/>
        </w:rPr>
        <w:t>和风险评估</w:t>
      </w:r>
    </w:p>
    <w:p>
      <w:pPr>
        <w:tabs>
          <w:tab w:val="left" w:pos="1021"/>
        </w:tabs>
        <w:adjustRightInd w:val="0"/>
        <w:snapToGrid w:val="0"/>
        <w:spacing w:line="360" w:lineRule="auto"/>
        <w:ind w:firstLine="480" w:firstLineChars="200"/>
        <w:rPr>
          <w:b/>
          <w:sz w:val="36"/>
          <w:szCs w:val="36"/>
        </w:rPr>
      </w:pPr>
      <w:r>
        <w:rPr>
          <w:rFonts w:hint="eastAsia" w:eastAsiaTheme="minorEastAsia"/>
          <w:bCs/>
          <w:sz w:val="24"/>
          <w:lang w:val="zh-CN"/>
        </w:rPr>
        <w:t>针对2口矿井地下水开展地下水环境状况调查及风险评估，查明地下水环境质量状况，开展健康风险，编制地下水环境状况补充调查和风险评估报告，通过环保部门组织的专家评审。协助业主参与项目验收相关工作。</w:t>
      </w:r>
    </w:p>
    <w:p>
      <w:pPr>
        <w:rPr>
          <w:b/>
          <w:color w:val="FF0000"/>
          <w:sz w:val="32"/>
          <w:szCs w:val="32"/>
        </w:rPr>
      </w:pPr>
      <w:r>
        <w:rPr>
          <w:rFonts w:hint="eastAsia"/>
          <w:b/>
          <w:color w:val="FF0000"/>
          <w:sz w:val="32"/>
          <w:szCs w:val="32"/>
        </w:rPr>
        <w:t>二、商务要求</w:t>
      </w:r>
    </w:p>
    <w:p>
      <w:pPr>
        <w:rPr>
          <w:color w:val="FF0000"/>
        </w:rPr>
      </w:pPr>
      <w:r>
        <w:rPr>
          <w:rFonts w:hint="eastAsia"/>
          <w:color w:val="FF0000"/>
        </w:rPr>
        <w:t>1、预算金额：120万元（超过此报价为无效投标）</w:t>
      </w:r>
    </w:p>
    <w:p>
      <w:pPr>
        <w:rPr>
          <w:color w:val="FF0000"/>
        </w:rPr>
      </w:pPr>
      <w:r>
        <w:rPr>
          <w:color w:val="FF0000"/>
        </w:rPr>
        <w:t>2</w:t>
      </w:r>
      <w:r>
        <w:rPr>
          <w:rFonts w:hint="eastAsia"/>
          <w:color w:val="FF0000"/>
        </w:rPr>
        <w:t>、招标内容：以阳新县洋港镇崩山村关停煤矿完整水文地质单元为对象，开展水文地质勘察、地下水环境状况补充调查和风险评估等，编制地下水环境现状补充调查和风险评估报告，通过环保部门组织的专家评审。</w:t>
      </w:r>
    </w:p>
    <w:p>
      <w:pPr>
        <w:rPr>
          <w:color w:val="FF0000"/>
        </w:rPr>
      </w:pPr>
      <w:r>
        <w:rPr>
          <w:rFonts w:hint="eastAsia"/>
          <w:color w:val="FF0000"/>
        </w:rPr>
        <w:t>3、售后服务：协助业主参与项目验收相关工作。</w:t>
      </w:r>
    </w:p>
    <w:p>
      <w:pPr>
        <w:rPr>
          <w:rFonts w:hint="eastAsia"/>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4、付款方式：</w:t>
      </w:r>
      <w:r>
        <w:rPr>
          <w:rFonts w:hint="eastAsia"/>
          <w:color w:val="000000" w:themeColor="text1"/>
          <w:lang w:val="en-US" w:eastAsia="zh-CN"/>
          <w14:textFill>
            <w14:solidFill>
              <w14:schemeClr w14:val="tx1"/>
            </w14:solidFill>
          </w14:textFill>
        </w:rPr>
        <w:t>地下水污染状况实施方案评审通过后付20%，竣工验收合格后付80%。</w:t>
      </w:r>
    </w:p>
    <w:p>
      <w:pPr>
        <w:rPr>
          <w:color w:val="FF0000"/>
        </w:rPr>
      </w:pPr>
      <w:r>
        <w:rPr>
          <w:rFonts w:hint="eastAsia"/>
          <w:color w:val="FF0000"/>
        </w:rPr>
        <w:t>5、服务时间：合同签订之日起90个日历天完成。</w:t>
      </w:r>
    </w:p>
    <w:p>
      <w:pPr>
        <w:pStyle w:val="25"/>
        <w:shd w:val="clear" w:color="auto" w:fill="FFFFFF"/>
        <w:spacing w:before="150" w:beforeAutospacing="0" w:after="150" w:afterAutospacing="0" w:line="360" w:lineRule="atLeast"/>
        <w:outlineLvl w:val="0"/>
        <w:rPr>
          <w:b/>
          <w:sz w:val="36"/>
          <w:szCs w:val="36"/>
        </w:rPr>
      </w:pPr>
    </w:p>
    <w:p>
      <w:pPr>
        <w:pStyle w:val="25"/>
        <w:shd w:val="clear" w:color="auto" w:fill="FFFFFF"/>
        <w:spacing w:before="150" w:beforeAutospacing="0" w:after="150" w:afterAutospacing="0" w:line="360" w:lineRule="atLeast"/>
        <w:outlineLvl w:val="0"/>
        <w:rPr>
          <w:b/>
          <w:sz w:val="36"/>
          <w:szCs w:val="36"/>
        </w:rPr>
      </w:pPr>
    </w:p>
    <w:p>
      <w:pPr>
        <w:pStyle w:val="25"/>
        <w:shd w:val="clear" w:color="auto" w:fill="FFFFFF"/>
        <w:spacing w:before="150" w:beforeAutospacing="0" w:after="150" w:afterAutospacing="0" w:line="360" w:lineRule="atLeast"/>
        <w:jc w:val="center"/>
        <w:outlineLvl w:val="0"/>
        <w:rPr>
          <w:b/>
          <w:sz w:val="36"/>
          <w:szCs w:val="36"/>
        </w:rPr>
      </w:pPr>
      <w:r>
        <w:rPr>
          <w:b/>
          <w:sz w:val="36"/>
          <w:szCs w:val="36"/>
        </w:rPr>
        <w:t>第四章  评审办法及评分标准</w:t>
      </w:r>
      <w:bookmarkEnd w:id="16"/>
    </w:p>
    <w:p>
      <w:pPr>
        <w:pStyle w:val="24"/>
        <w:spacing w:line="500" w:lineRule="exact"/>
        <w:ind w:firstLine="480" w:firstLineChars="200"/>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根据《中华人民共和国政府采购法》、《中华人民共和国政府采购法实施条例》、《政府采购竞争性磋商采购方式管理暂行办法》及省、市有关规定，磋商小组成员按照客观、公正、谨慎的原则，根据采购文件规定的评审程序、评审方法和评审标准进行独立评审，确定成交供应商。</w:t>
      </w:r>
    </w:p>
    <w:p>
      <w:pPr>
        <w:pStyle w:val="24"/>
        <w:spacing w:line="500" w:lineRule="exact"/>
        <w:ind w:left="560" w:leftChars="200" w:firstLine="199" w:firstLineChars="83"/>
        <w:rPr>
          <w:rFonts w:ascii="Times New Roman" w:hAnsi="Times New Roman"/>
          <w:color w:val="000000" w:themeColor="text1"/>
          <w:sz w:val="24"/>
          <w:szCs w:val="24"/>
          <w14:textFill>
            <w14:solidFill>
              <w14:schemeClr w14:val="tx1"/>
            </w14:solidFill>
          </w14:textFill>
        </w:rPr>
      </w:pPr>
      <w:r>
        <w:rPr>
          <w:rFonts w:hint="eastAsia" w:ascii="Times New Roman" w:hAnsi="Times New Roman"/>
          <w:color w:val="000000" w:themeColor="text1"/>
          <w:sz w:val="24"/>
          <w:szCs w:val="24"/>
          <w14:textFill>
            <w14:solidFill>
              <w14:schemeClr w14:val="tx1"/>
            </w14:solidFill>
          </w14:textFill>
        </w:rPr>
        <w:t>本次采购遵循公平竞争原则、公正原则和诚实信用原则。</w:t>
      </w:r>
    </w:p>
    <w:p>
      <w:pPr>
        <w:adjustRightInd w:val="0"/>
        <w:snapToGrid w:val="0"/>
        <w:spacing w:line="360" w:lineRule="auto"/>
        <w:rPr>
          <w:b/>
          <w:bCs/>
          <w:sz w:val="24"/>
          <w:lang w:val="zh-CN"/>
        </w:rPr>
      </w:pPr>
      <w:r>
        <w:rPr>
          <w:rFonts w:hint="eastAsia"/>
          <w:b/>
          <w:bCs/>
          <w:sz w:val="24"/>
          <w:lang w:val="zh-CN"/>
        </w:rPr>
        <w:t>（一）评审方法</w:t>
      </w:r>
    </w:p>
    <w:p>
      <w:pPr>
        <w:adjustRightInd w:val="0"/>
        <w:snapToGrid w:val="0"/>
        <w:spacing w:line="360" w:lineRule="auto"/>
        <w:ind w:firstLine="480" w:firstLineChars="200"/>
        <w:rPr>
          <w:bCs/>
          <w:sz w:val="24"/>
          <w:highlight w:val="yellow"/>
        </w:rPr>
      </w:pPr>
      <w:r>
        <w:rPr>
          <w:rFonts w:hint="eastAsia"/>
          <w:bCs/>
          <w:sz w:val="24"/>
          <w:highlight w:val="yellow"/>
          <w:lang w:val="zh-CN"/>
        </w:rPr>
        <w:t>本次评审采用综合评分法。即满分</w:t>
      </w:r>
      <w:r>
        <w:rPr>
          <w:bCs/>
          <w:sz w:val="24"/>
          <w:highlight w:val="yellow"/>
          <w:lang w:val="zh-CN"/>
        </w:rPr>
        <w:t>100</w:t>
      </w:r>
      <w:r>
        <w:rPr>
          <w:rFonts w:hint="eastAsia"/>
          <w:bCs/>
          <w:sz w:val="24"/>
          <w:highlight w:val="yellow"/>
          <w:lang w:val="zh-CN"/>
        </w:rPr>
        <w:t>分，其中商务服务占</w:t>
      </w:r>
      <w:r>
        <w:rPr>
          <w:rFonts w:hint="eastAsia"/>
          <w:bCs/>
          <w:sz w:val="24"/>
          <w:highlight w:val="yellow"/>
        </w:rPr>
        <w:t>45%</w:t>
      </w:r>
      <w:r>
        <w:rPr>
          <w:rFonts w:hint="eastAsia"/>
          <w:bCs/>
          <w:sz w:val="24"/>
          <w:highlight w:val="yellow"/>
          <w:lang w:val="zh-CN"/>
        </w:rPr>
        <w:t>，技术评议占</w:t>
      </w:r>
      <w:r>
        <w:rPr>
          <w:rFonts w:hint="eastAsia"/>
          <w:bCs/>
          <w:sz w:val="24"/>
          <w:highlight w:val="yellow"/>
        </w:rPr>
        <w:t>45</w:t>
      </w:r>
      <w:r>
        <w:rPr>
          <w:rFonts w:hint="eastAsia"/>
          <w:bCs/>
          <w:sz w:val="24"/>
          <w:highlight w:val="yellow"/>
          <w:lang w:val="zh-CN"/>
        </w:rPr>
        <w:t>％，报价占</w:t>
      </w:r>
      <w:r>
        <w:rPr>
          <w:rFonts w:hint="eastAsia"/>
          <w:bCs/>
          <w:sz w:val="24"/>
          <w:highlight w:val="yellow"/>
        </w:rPr>
        <w:t>10</w:t>
      </w:r>
      <w:r>
        <w:rPr>
          <w:bCs/>
          <w:sz w:val="24"/>
          <w:highlight w:val="yellow"/>
          <w:lang w:val="zh-CN"/>
        </w:rPr>
        <w:t>%</w:t>
      </w:r>
      <w:r>
        <w:rPr>
          <w:rFonts w:hint="eastAsia"/>
          <w:bCs/>
          <w:sz w:val="24"/>
          <w:highlight w:val="yellow"/>
          <w:lang w:val="zh-CN"/>
        </w:rPr>
        <w:t>。</w:t>
      </w:r>
    </w:p>
    <w:p>
      <w:pPr>
        <w:adjustRightInd w:val="0"/>
        <w:snapToGrid w:val="0"/>
        <w:spacing w:line="360" w:lineRule="auto"/>
        <w:rPr>
          <w:b/>
          <w:bCs/>
          <w:sz w:val="24"/>
          <w:lang w:val="zh-CN"/>
        </w:rPr>
      </w:pPr>
      <w:r>
        <w:rPr>
          <w:rFonts w:hint="eastAsia"/>
          <w:b/>
          <w:bCs/>
          <w:sz w:val="24"/>
          <w:lang w:val="zh-CN"/>
        </w:rPr>
        <w:t>（二）评审步骤</w:t>
      </w:r>
    </w:p>
    <w:p>
      <w:pPr>
        <w:adjustRightInd w:val="0"/>
        <w:snapToGrid w:val="0"/>
        <w:spacing w:line="360" w:lineRule="auto"/>
        <w:rPr>
          <w:bCs/>
          <w:sz w:val="24"/>
          <w:lang w:val="zh-CN"/>
        </w:rPr>
      </w:pPr>
      <w:r>
        <w:rPr>
          <w:rFonts w:hint="eastAsia"/>
          <w:bCs/>
          <w:sz w:val="24"/>
          <w:lang w:val="zh-CN"/>
        </w:rPr>
        <w:t>磋商小组对响应文件的评审分为资格性符合性检查、商务服务评议和价格评议：</w:t>
      </w:r>
    </w:p>
    <w:p>
      <w:pPr>
        <w:adjustRightInd w:val="0"/>
        <w:snapToGrid w:val="0"/>
        <w:spacing w:line="360" w:lineRule="auto"/>
        <w:rPr>
          <w:bCs/>
          <w:sz w:val="24"/>
        </w:rPr>
      </w:pPr>
      <w:r>
        <w:rPr>
          <w:bCs/>
          <w:sz w:val="24"/>
          <w:lang w:val="zh-CN"/>
        </w:rPr>
        <w:t>1.</w:t>
      </w:r>
      <w:r>
        <w:rPr>
          <w:rFonts w:hint="eastAsia"/>
          <w:bCs/>
          <w:sz w:val="24"/>
          <w:lang w:val="zh-CN"/>
        </w:rPr>
        <w:t>资格性符合性检查，审查标准详见</w:t>
      </w:r>
      <w:r>
        <w:rPr>
          <w:rFonts w:hint="eastAsia"/>
          <w:bCs/>
          <w:sz w:val="24"/>
        </w:rPr>
        <w:t>1.1,1.2</w:t>
      </w:r>
    </w:p>
    <w:p>
      <w:pPr>
        <w:adjustRightInd w:val="0"/>
        <w:snapToGrid w:val="0"/>
        <w:spacing w:line="360" w:lineRule="auto"/>
        <w:rPr>
          <w:bCs/>
          <w:sz w:val="24"/>
        </w:rPr>
      </w:pPr>
      <w:r>
        <w:rPr>
          <w:bCs/>
          <w:sz w:val="24"/>
          <w:lang w:val="zh-CN"/>
        </w:rPr>
        <w:t>2.</w:t>
      </w:r>
      <w:r>
        <w:rPr>
          <w:rFonts w:hint="eastAsia"/>
          <w:bCs/>
          <w:sz w:val="24"/>
          <w:lang w:val="zh-CN"/>
        </w:rPr>
        <w:t>商务服务评议（</w:t>
      </w:r>
      <w:r>
        <w:rPr>
          <w:rFonts w:hint="eastAsia"/>
          <w:bCs/>
          <w:sz w:val="24"/>
          <w:highlight w:val="yellow"/>
          <w:lang w:val="zh-CN"/>
        </w:rPr>
        <w:t>占</w:t>
      </w:r>
      <w:r>
        <w:rPr>
          <w:rFonts w:hint="eastAsia"/>
          <w:bCs/>
          <w:sz w:val="24"/>
          <w:highlight w:val="yellow"/>
        </w:rPr>
        <w:t>45</w:t>
      </w:r>
      <w:r>
        <w:rPr>
          <w:bCs/>
          <w:sz w:val="24"/>
          <w:highlight w:val="yellow"/>
          <w:lang w:val="zh-CN"/>
        </w:rPr>
        <w:t>%</w:t>
      </w:r>
      <w:r>
        <w:rPr>
          <w:rFonts w:hint="eastAsia"/>
          <w:bCs/>
          <w:sz w:val="24"/>
          <w:highlight w:val="yellow"/>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磋商小组依据“商务服务评分表”中的分值及标准进行评分。</w:t>
      </w:r>
    </w:p>
    <w:p>
      <w:pPr>
        <w:adjustRightInd w:val="0"/>
        <w:snapToGrid w:val="0"/>
        <w:spacing w:line="360" w:lineRule="auto"/>
        <w:rPr>
          <w:bCs/>
          <w:sz w:val="24"/>
        </w:rPr>
      </w:pPr>
      <w:r>
        <w:rPr>
          <w:bCs/>
          <w:sz w:val="24"/>
          <w:lang w:val="zh-CN"/>
        </w:rPr>
        <w:t>3.</w:t>
      </w:r>
      <w:r>
        <w:rPr>
          <w:rFonts w:hint="eastAsia"/>
          <w:bCs/>
          <w:sz w:val="24"/>
          <w:lang w:val="zh-CN"/>
        </w:rPr>
        <w:t>技术评议（</w:t>
      </w:r>
      <w:r>
        <w:rPr>
          <w:rFonts w:hint="eastAsia"/>
          <w:bCs/>
          <w:sz w:val="24"/>
          <w:highlight w:val="yellow"/>
          <w:lang w:val="zh-CN"/>
        </w:rPr>
        <w:t>占</w:t>
      </w:r>
      <w:r>
        <w:rPr>
          <w:rFonts w:hint="eastAsia"/>
          <w:bCs/>
          <w:sz w:val="24"/>
          <w:highlight w:val="yellow"/>
        </w:rPr>
        <w:t>45</w:t>
      </w:r>
      <w:r>
        <w:rPr>
          <w:bCs/>
          <w:sz w:val="24"/>
          <w:highlight w:val="yellow"/>
          <w:lang w:val="zh-CN"/>
        </w:rPr>
        <w:t>%</w:t>
      </w:r>
      <w:r>
        <w:rPr>
          <w:rFonts w:hint="eastAsia"/>
          <w:bCs/>
          <w:sz w:val="24"/>
          <w:highlight w:val="yellow"/>
          <w:lang w:val="zh-CN"/>
        </w:rPr>
        <w:t>）</w:t>
      </w:r>
    </w:p>
    <w:p>
      <w:pPr>
        <w:adjustRightInd w:val="0"/>
        <w:snapToGrid w:val="0"/>
        <w:spacing w:line="360" w:lineRule="auto"/>
        <w:ind w:firstLine="480" w:firstLineChars="200"/>
        <w:rPr>
          <w:bCs/>
          <w:sz w:val="24"/>
          <w:lang w:val="zh-CN"/>
        </w:rPr>
      </w:pPr>
      <w:r>
        <w:rPr>
          <w:rFonts w:hint="eastAsia"/>
          <w:bCs/>
          <w:sz w:val="24"/>
          <w:lang w:val="zh-CN"/>
        </w:rPr>
        <w:t>磋商小组依据“</w:t>
      </w:r>
      <w:r>
        <w:rPr>
          <w:rFonts w:hint="eastAsia"/>
          <w:bCs/>
          <w:sz w:val="24"/>
        </w:rPr>
        <w:t>技术</w:t>
      </w:r>
      <w:r>
        <w:rPr>
          <w:rFonts w:hint="eastAsia"/>
          <w:bCs/>
          <w:sz w:val="24"/>
          <w:lang w:val="zh-CN"/>
        </w:rPr>
        <w:t>服务评分表”中的分值及标准进行评分。</w:t>
      </w:r>
    </w:p>
    <w:p>
      <w:pPr>
        <w:adjustRightInd w:val="0"/>
        <w:snapToGrid w:val="0"/>
        <w:spacing w:line="360" w:lineRule="auto"/>
        <w:rPr>
          <w:bCs/>
          <w:sz w:val="24"/>
          <w:lang w:val="zh-CN"/>
        </w:rPr>
      </w:pPr>
      <w:r>
        <w:rPr>
          <w:bCs/>
          <w:sz w:val="24"/>
          <w:lang w:val="zh-CN"/>
        </w:rPr>
        <w:t>4.</w:t>
      </w:r>
      <w:r>
        <w:rPr>
          <w:rFonts w:hint="eastAsia"/>
          <w:bCs/>
          <w:sz w:val="24"/>
          <w:lang w:val="zh-CN"/>
        </w:rPr>
        <w:t>价格评议（</w:t>
      </w:r>
      <w:r>
        <w:rPr>
          <w:rFonts w:hint="eastAsia"/>
          <w:bCs/>
          <w:sz w:val="24"/>
          <w:highlight w:val="yellow"/>
          <w:lang w:val="zh-CN"/>
        </w:rPr>
        <w:t>占</w:t>
      </w:r>
      <w:r>
        <w:rPr>
          <w:rFonts w:hint="eastAsia"/>
          <w:bCs/>
          <w:sz w:val="24"/>
          <w:highlight w:val="yellow"/>
        </w:rPr>
        <w:t>10</w:t>
      </w:r>
      <w:r>
        <w:rPr>
          <w:bCs/>
          <w:sz w:val="24"/>
          <w:highlight w:val="yellow"/>
          <w:lang w:val="zh-CN"/>
        </w:rPr>
        <w:t>%</w:t>
      </w:r>
      <w:r>
        <w:rPr>
          <w:rFonts w:hint="eastAsia"/>
          <w:bCs/>
          <w:sz w:val="24"/>
          <w:highlight w:val="yellow"/>
          <w:lang w:val="zh-CN"/>
        </w:rPr>
        <w:t>）</w:t>
      </w:r>
    </w:p>
    <w:p>
      <w:pPr>
        <w:adjustRightInd w:val="0"/>
        <w:snapToGrid w:val="0"/>
        <w:spacing w:line="360" w:lineRule="auto"/>
        <w:ind w:firstLine="480" w:firstLineChars="200"/>
        <w:rPr>
          <w:bCs/>
          <w:sz w:val="24"/>
          <w:highlight w:val="yellow"/>
          <w:lang w:val="zh-CN"/>
        </w:rPr>
      </w:pPr>
      <w:r>
        <w:rPr>
          <w:rFonts w:hint="eastAsia"/>
          <w:bCs/>
          <w:sz w:val="24"/>
          <w:highlight w:val="yellow"/>
          <w:lang w:val="zh-CN"/>
        </w:rPr>
        <w:t>评标委员会对符合性审查合格的投标文件进行价格评议。其他投标人的价格分计算详见本章“评审因素及评分标准”中的具体计算公式。</w:t>
      </w:r>
    </w:p>
    <w:p>
      <w:pPr>
        <w:adjustRightInd w:val="0"/>
        <w:snapToGrid w:val="0"/>
        <w:spacing w:line="360" w:lineRule="auto"/>
        <w:rPr>
          <w:bCs/>
          <w:sz w:val="24"/>
          <w:lang w:val="zh-CN"/>
        </w:rPr>
      </w:pPr>
      <w:r>
        <w:rPr>
          <w:bCs/>
          <w:sz w:val="24"/>
          <w:lang w:val="zh-CN"/>
        </w:rPr>
        <w:t>5.</w:t>
      </w:r>
      <w:r>
        <w:rPr>
          <w:rFonts w:hint="eastAsia"/>
          <w:bCs/>
          <w:sz w:val="24"/>
          <w:lang w:val="zh-CN"/>
        </w:rPr>
        <w:t>推荐成交候选供应商</w:t>
      </w:r>
    </w:p>
    <w:p>
      <w:pPr>
        <w:adjustRightInd w:val="0"/>
        <w:snapToGrid w:val="0"/>
        <w:spacing w:line="360" w:lineRule="auto"/>
        <w:ind w:firstLine="480" w:firstLineChars="200"/>
        <w:rPr>
          <w:bCs/>
          <w:sz w:val="24"/>
          <w:lang w:val="zh-CN"/>
        </w:rPr>
      </w:pPr>
      <w:r>
        <w:rPr>
          <w:rFonts w:hint="eastAsia"/>
          <w:bCs/>
          <w:sz w:val="24"/>
          <w:lang w:val="zh-CN"/>
        </w:rPr>
        <w:t>磋商小组应当根据综合评分情况，按照评审得分由高到低顺序推荐</w:t>
      </w:r>
      <w:r>
        <w:rPr>
          <w:bCs/>
          <w:sz w:val="24"/>
          <w:lang w:val="zh-CN"/>
        </w:rPr>
        <w:t>3</w:t>
      </w:r>
      <w:r>
        <w:rPr>
          <w:rFonts w:hint="eastAsia"/>
          <w:bCs/>
          <w:sz w:val="24"/>
          <w:lang w:val="zh-CN"/>
        </w:rPr>
        <w:t>名以上成交候选供应商，并编写评审报告。评审得分相同的，按照最后报价由低到高的顺序推荐。评审得分且最后报价相同的，按照技术指标优劣顺序推荐。</w:t>
      </w:r>
    </w:p>
    <w:p>
      <w:pPr>
        <w:rPr>
          <w:b/>
          <w:sz w:val="24"/>
        </w:rPr>
      </w:pPr>
    </w:p>
    <w:p>
      <w:pPr>
        <w:rPr>
          <w:rFonts w:ascii="Helvetica" w:hAnsi="Helvetica" w:cs="Helvetica"/>
          <w:kern w:val="0"/>
          <w:sz w:val="24"/>
          <w:lang w:val="zh-CN"/>
        </w:rPr>
      </w:pPr>
      <w:r>
        <w:rPr>
          <w:b/>
          <w:sz w:val="36"/>
          <w:szCs w:val="36"/>
        </w:rPr>
        <w:br w:type="page"/>
      </w:r>
    </w:p>
    <w:p>
      <w:pPr>
        <w:pStyle w:val="120"/>
        <w:tabs>
          <w:tab w:val="left" w:pos="985"/>
        </w:tabs>
        <w:spacing w:before="163"/>
        <w:ind w:firstLine="0" w:firstLineChars="0"/>
        <w:jc w:val="left"/>
        <w:rPr>
          <w:rFonts w:ascii="Times New Roman" w:hAnsi="Times New Roman"/>
          <w:bCs/>
          <w:sz w:val="24"/>
          <w:szCs w:val="24"/>
          <w:lang w:val="zh-CN"/>
        </w:rPr>
      </w:pPr>
      <w:r>
        <w:rPr>
          <w:rFonts w:hint="eastAsia" w:ascii="Times New Roman" w:hAnsi="Times New Roman"/>
          <w:bCs/>
          <w:sz w:val="24"/>
          <w:szCs w:val="24"/>
        </w:rPr>
        <w:t>1、</w:t>
      </w:r>
      <w:r>
        <w:rPr>
          <w:rFonts w:hint="eastAsia" w:ascii="Times New Roman" w:hAnsi="Times New Roman"/>
          <w:bCs/>
          <w:sz w:val="24"/>
          <w:szCs w:val="24"/>
          <w:lang w:val="zh-CN"/>
        </w:rPr>
        <w:t>初步审查标准</w:t>
      </w:r>
    </w:p>
    <w:p>
      <w:pPr>
        <w:pStyle w:val="120"/>
        <w:tabs>
          <w:tab w:val="left" w:pos="1644"/>
        </w:tabs>
        <w:spacing w:before="160"/>
        <w:ind w:firstLine="0" w:firstLineChars="0"/>
        <w:jc w:val="left"/>
        <w:rPr>
          <w:rFonts w:ascii="Times New Roman" w:hAnsi="Times New Roman"/>
          <w:bCs/>
          <w:sz w:val="24"/>
          <w:szCs w:val="24"/>
          <w:lang w:val="zh-CN"/>
        </w:rPr>
      </w:pPr>
      <w:r>
        <w:rPr>
          <w:rFonts w:hint="eastAsia" w:ascii="Times New Roman" w:hAnsi="Times New Roman"/>
          <w:bCs/>
          <w:sz w:val="24"/>
          <w:szCs w:val="24"/>
        </w:rPr>
        <w:t xml:space="preserve">1.1  </w:t>
      </w:r>
      <w:r>
        <w:rPr>
          <w:rFonts w:hint="eastAsia" w:ascii="Times New Roman" w:hAnsi="Times New Roman"/>
          <w:bCs/>
          <w:sz w:val="24"/>
          <w:szCs w:val="24"/>
          <w:lang w:val="zh-CN"/>
        </w:rPr>
        <w:t>资格性审查标准：</w:t>
      </w:r>
    </w:p>
    <w:p>
      <w:pPr>
        <w:spacing w:line="360" w:lineRule="auto"/>
        <w:rPr>
          <w:lang w:val="zh-CN"/>
        </w:rPr>
      </w:pPr>
      <w:r>
        <w:rPr>
          <w:rFonts w:hint="eastAsia"/>
          <w:bCs/>
          <w:sz w:val="24"/>
        </w:rPr>
        <mc:AlternateContent>
          <mc:Choice Requires="wps">
            <w:drawing>
              <wp:anchor distT="0" distB="0" distL="114300" distR="114300" simplePos="0" relativeHeight="251659264" behindDoc="0" locked="0" layoutInCell="1" allowOverlap="1">
                <wp:simplePos x="0" y="0"/>
                <wp:positionH relativeFrom="page">
                  <wp:posOffset>10394950</wp:posOffset>
                </wp:positionH>
                <wp:positionV relativeFrom="paragraph">
                  <wp:posOffset>10055860</wp:posOffset>
                </wp:positionV>
                <wp:extent cx="2931160" cy="479171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931160" cy="4791710"/>
                        </a:xfrm>
                        <a:prstGeom prst="rect">
                          <a:avLst/>
                        </a:prstGeom>
                        <a:noFill/>
                        <a:ln>
                          <a:noFill/>
                        </a:ln>
                      </wps:spPr>
                      <wps:txbx>
                        <w:txbxContent>
                          <w:p>
                            <w:pPr>
                              <w:pStyle w:val="16"/>
                            </w:pPr>
                          </w:p>
                        </w:txbxContent>
                      </wps:txbx>
                      <wps:bodyPr lIns="0" tIns="0" rIns="0" bIns="0" upright="1"/>
                    </wps:wsp>
                  </a:graphicData>
                </a:graphic>
              </wp:anchor>
            </w:drawing>
          </mc:Choice>
          <mc:Fallback>
            <w:pict>
              <v:shape id="_x0000_s1026" o:spid="_x0000_s1026" o:spt="202" type="#_x0000_t202" style="position:absolute;left:0pt;margin-left:818.5pt;margin-top:791.8pt;height:377.3pt;width:230.8pt;mso-position-horizontal-relative:page;z-index:251659264;mso-width-relative:page;mso-height-relative:page;" filled="f" stroked="f" coordsize="21600,21600" o:gfxdata="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Dfk52wAAAA8BAAAPAAAAAAAAAAEAIAAAACIAAABkcnMvZG93bnJldi54bWxQ&#10;SwECFAAUAAAACACHTuJA2rBU9LsBAAB1AwAADgAAAAAAAAABACAAAAAqAQAAZHJzL2Uyb0RvYy54&#10;bWxQSwUGAAAAAAYABgBZAQAAVwUAAAAA&#10;">
                <v:fill on="f" focussize="0,0"/>
                <v:stroke on="f"/>
                <v:imagedata o:title=""/>
                <o:lock v:ext="edit" aspectratio="f"/>
                <v:textbox inset="0mm,0mm,0mm,0mm">
                  <w:txbxContent>
                    <w:p>
                      <w:pPr>
                        <w:pStyle w:val="16"/>
                      </w:pPr>
                    </w:p>
                  </w:txbxContent>
                </v:textbox>
              </v:shape>
            </w:pict>
          </mc:Fallback>
        </mc:AlternateContent>
      </w:r>
      <w:r>
        <w:rPr>
          <w:rFonts w:hint="eastAsia"/>
          <w:bCs/>
          <w:sz w:val="24"/>
          <w:lang w:val="zh-CN"/>
        </w:rPr>
        <w:t>资格性审查不符合下表情形之一的投标，按照无效投标处理</w:t>
      </w:r>
    </w:p>
    <w:p>
      <w:pPr>
        <w:rPr>
          <w:bCs/>
          <w:sz w:val="24"/>
          <w:lang w:val="zh-CN"/>
        </w:rPr>
      </w:pP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2414"/>
        <w:gridCol w:w="4014"/>
        <w:gridCol w:w="1200"/>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5"/>
              <w:spacing w:before="160"/>
              <w:ind w:left="107" w:right="99"/>
              <w:jc w:val="center"/>
            </w:pPr>
            <w:r>
              <w:rPr>
                <w:rFonts w:hint="eastAsia" w:ascii="Times New Roman" w:hAnsi="Times New Roman" w:cs="Times New Roman"/>
                <w:bCs/>
                <w:lang w:bidi="ar-SA"/>
              </w:rPr>
              <w:t>序号</w:t>
            </w:r>
          </w:p>
        </w:tc>
        <w:tc>
          <w:tcPr>
            <w:tcW w:w="2414" w:type="dxa"/>
          </w:tcPr>
          <w:p>
            <w:pPr>
              <w:pStyle w:val="125"/>
              <w:spacing w:before="160"/>
              <w:ind w:left="107"/>
            </w:pPr>
            <w:r>
              <w:rPr>
                <w:rFonts w:hint="eastAsia" w:ascii="Times New Roman" w:hAnsi="Times New Roman" w:cs="Times New Roman"/>
                <w:bCs/>
                <w:lang w:bidi="ar-SA"/>
              </w:rPr>
              <w:t>资格要求</w:t>
            </w:r>
          </w:p>
        </w:tc>
        <w:tc>
          <w:tcPr>
            <w:tcW w:w="4014" w:type="dxa"/>
          </w:tcPr>
          <w:p>
            <w:pPr>
              <w:pStyle w:val="125"/>
              <w:spacing w:before="160"/>
              <w:ind w:left="108"/>
            </w:pPr>
            <w:r>
              <w:rPr>
                <w:rFonts w:hint="eastAsia" w:ascii="Times New Roman" w:hAnsi="Times New Roman" w:cs="Times New Roman"/>
                <w:bCs/>
                <w:lang w:bidi="ar-SA"/>
              </w:rPr>
              <w:t>审查资料</w:t>
            </w:r>
          </w:p>
        </w:tc>
        <w:tc>
          <w:tcPr>
            <w:tcW w:w="1200" w:type="dxa"/>
          </w:tcPr>
          <w:p>
            <w:pPr>
              <w:pStyle w:val="125"/>
              <w:spacing w:before="2" w:line="310" w:lineRule="atLeast"/>
              <w:ind w:left="131" w:right="118"/>
            </w:pPr>
            <w:r>
              <w:rPr>
                <w:rFonts w:hint="eastAsia" w:ascii="Times New Roman" w:hAnsi="Times New Roman" w:cs="Times New Roman"/>
                <w:bCs/>
                <w:lang w:bidi="ar-SA"/>
              </w:rPr>
              <w:t>是否提交原件</w:t>
            </w:r>
          </w:p>
        </w:tc>
        <w:tc>
          <w:tcPr>
            <w:tcW w:w="996" w:type="dxa"/>
          </w:tcPr>
          <w:p>
            <w:pPr>
              <w:pStyle w:val="125"/>
              <w:spacing w:before="2" w:line="310" w:lineRule="atLeast"/>
              <w:ind w:left="106" w:right="42"/>
              <w:rPr>
                <w:rFonts w:ascii="Times New Roman" w:hAnsi="Times New Roman" w:cs="Times New Roman"/>
                <w:bCs/>
                <w:lang w:bidi="ar-SA"/>
              </w:rPr>
            </w:pPr>
            <w:r>
              <w:rPr>
                <w:rFonts w:hint="eastAsia" w:ascii="Times New Roman" w:hAnsi="Times New Roman" w:cs="Times New Roman"/>
                <w:bCs/>
                <w:lang w:bidi="ar-SA"/>
              </w:rPr>
              <w:t>审查</w:t>
            </w:r>
          </w:p>
          <w:p>
            <w:pPr>
              <w:pStyle w:val="125"/>
              <w:spacing w:before="2" w:line="310" w:lineRule="atLeast"/>
              <w:ind w:left="106" w:right="42"/>
            </w:pPr>
            <w:r>
              <w:rPr>
                <w:rFonts w:hint="eastAsia" w:ascii="Times New Roman" w:hAnsi="Times New Roman" w:cs="Times New Roman"/>
                <w:bCs/>
                <w:lang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restart"/>
            <w:vAlign w:val="center"/>
          </w:tcPr>
          <w:p>
            <w:pPr>
              <w:pStyle w:val="16"/>
              <w:jc w:val="center"/>
              <w:rPr>
                <w:rFonts w:ascii="Calibri" w:hAnsi="Calibri"/>
              </w:rPr>
            </w:pPr>
            <w:r>
              <w:rPr>
                <w:rFonts w:hint="eastAsia" w:ascii="Calibri" w:hAnsi="Calibri"/>
              </w:rPr>
              <w:t>1</w:t>
            </w:r>
          </w:p>
        </w:tc>
        <w:tc>
          <w:tcPr>
            <w:tcW w:w="2414" w:type="dxa"/>
            <w:vMerge w:val="restart"/>
            <w:vAlign w:val="center"/>
          </w:tcPr>
          <w:p>
            <w:pPr>
              <w:pStyle w:val="16"/>
              <w:jc w:val="center"/>
              <w:rPr>
                <w:rFonts w:ascii="Calibri" w:hAnsi="Calibri"/>
                <w:lang w:val="zh-CN"/>
              </w:rPr>
            </w:pPr>
            <w:r>
              <w:rPr>
                <w:rFonts w:hint="eastAsia" w:ascii="Calibri" w:hAnsi="Calibri"/>
                <w:bCs/>
                <w:sz w:val="22"/>
                <w:szCs w:val="22"/>
                <w:lang w:val="zh-CN"/>
              </w:rPr>
              <w:t>具有独立承担民事责任的能力</w:t>
            </w:r>
          </w:p>
        </w:tc>
        <w:tc>
          <w:tcPr>
            <w:tcW w:w="4014" w:type="dxa"/>
          </w:tcPr>
          <w:p>
            <w:pPr>
              <w:pStyle w:val="125"/>
              <w:spacing w:before="4" w:line="289" w:lineRule="exact"/>
              <w:rPr>
                <w:rFonts w:ascii="Times New Roman" w:hAnsi="Times New Roman" w:cs="Times New Roman"/>
                <w:bCs/>
                <w:lang w:bidi="ar-SA"/>
              </w:rPr>
            </w:pPr>
            <w:r>
              <w:rPr>
                <w:rFonts w:hint="eastAsia" w:ascii="Times New Roman" w:hAnsi="Times New Roman" w:cs="Times New Roman"/>
                <w:bCs/>
                <w:lang w:bidi="ar-SA"/>
              </w:rPr>
              <w:t>1.供应商为企业的，提供有效的营业执照；</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vMerge w:val="restart"/>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ascii="Calibri" w:hAnsi="Calibri"/>
                <w:lang w:val="zh-CN"/>
              </w:rPr>
            </w:pPr>
          </w:p>
        </w:tc>
        <w:tc>
          <w:tcPr>
            <w:tcW w:w="2414" w:type="dxa"/>
            <w:vMerge w:val="continue"/>
            <w:vAlign w:val="center"/>
          </w:tcPr>
          <w:p>
            <w:pPr>
              <w:pStyle w:val="16"/>
              <w:jc w:val="center"/>
              <w:rPr>
                <w:rFonts w:ascii="Calibri" w:hAnsi="Calibri"/>
                <w:lang w:val="zh-CN"/>
              </w:rPr>
            </w:pPr>
          </w:p>
        </w:tc>
        <w:tc>
          <w:tcPr>
            <w:tcW w:w="4014" w:type="dxa"/>
          </w:tcPr>
          <w:p>
            <w:pPr>
              <w:pStyle w:val="125"/>
              <w:spacing w:before="3"/>
            </w:pPr>
            <w:r>
              <w:rPr>
                <w:rFonts w:hint="eastAsia" w:ascii="Times New Roman" w:hAnsi="Times New Roman" w:cs="Times New Roman"/>
                <w:bCs/>
                <w:lang w:bidi="ar-SA"/>
              </w:rPr>
              <w:t>2.供应商为事业单位的，提供有效的事业单位法人证书；</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vMerge w:val="continue"/>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ascii="Calibri" w:hAnsi="Calibri"/>
                <w:lang w:val="zh-CN"/>
              </w:rPr>
            </w:pPr>
          </w:p>
        </w:tc>
        <w:tc>
          <w:tcPr>
            <w:tcW w:w="2414" w:type="dxa"/>
            <w:vMerge w:val="continue"/>
            <w:vAlign w:val="center"/>
          </w:tcPr>
          <w:p>
            <w:pPr>
              <w:pStyle w:val="16"/>
              <w:jc w:val="center"/>
              <w:rPr>
                <w:rFonts w:ascii="Calibri" w:hAnsi="Calibri"/>
                <w:lang w:val="zh-CN"/>
              </w:rPr>
            </w:pPr>
          </w:p>
        </w:tc>
        <w:tc>
          <w:tcPr>
            <w:tcW w:w="4014" w:type="dxa"/>
          </w:tcPr>
          <w:p>
            <w:pPr>
              <w:pStyle w:val="125"/>
              <w:spacing w:before="2"/>
            </w:pPr>
            <w:r>
              <w:rPr>
                <w:rFonts w:hint="eastAsia" w:ascii="Times New Roman" w:hAnsi="Times New Roman" w:cs="Times New Roman"/>
                <w:bCs/>
                <w:lang w:bidi="ar-SA"/>
              </w:rPr>
              <w:t>3.供应商为社会团体的，提供有效的社会团体法人登记证书；</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vMerge w:val="continue"/>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ascii="Calibri" w:hAnsi="Calibri"/>
                <w:lang w:val="zh-CN"/>
              </w:rPr>
            </w:pPr>
          </w:p>
        </w:tc>
        <w:tc>
          <w:tcPr>
            <w:tcW w:w="2414" w:type="dxa"/>
            <w:vMerge w:val="continue"/>
            <w:vAlign w:val="center"/>
          </w:tcPr>
          <w:p>
            <w:pPr>
              <w:pStyle w:val="16"/>
              <w:jc w:val="center"/>
              <w:rPr>
                <w:rFonts w:ascii="Calibri" w:hAnsi="Calibri"/>
                <w:lang w:val="zh-CN"/>
              </w:rPr>
            </w:pPr>
          </w:p>
        </w:tc>
        <w:tc>
          <w:tcPr>
            <w:tcW w:w="4014" w:type="dxa"/>
          </w:tcPr>
          <w:p>
            <w:pPr>
              <w:pStyle w:val="125"/>
              <w:spacing w:before="2"/>
            </w:pPr>
            <w:r>
              <w:rPr>
                <w:rFonts w:hint="eastAsia" w:ascii="Times New Roman" w:hAnsi="Times New Roman" w:cs="Times New Roman"/>
                <w:bCs/>
                <w:lang w:bidi="ar-SA"/>
              </w:rPr>
              <w:t>4.供应商为合伙企业、个体工商户的，提供有效的营业执照；</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vMerge w:val="continue"/>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ascii="Calibri" w:hAnsi="Calibri"/>
                <w:lang w:val="zh-CN"/>
              </w:rPr>
            </w:pPr>
          </w:p>
        </w:tc>
        <w:tc>
          <w:tcPr>
            <w:tcW w:w="2414" w:type="dxa"/>
            <w:vMerge w:val="continue"/>
            <w:vAlign w:val="center"/>
          </w:tcPr>
          <w:p>
            <w:pPr>
              <w:pStyle w:val="16"/>
              <w:jc w:val="center"/>
              <w:rPr>
                <w:rFonts w:ascii="Calibri" w:hAnsi="Calibri"/>
                <w:lang w:val="zh-CN"/>
              </w:rPr>
            </w:pPr>
          </w:p>
        </w:tc>
        <w:tc>
          <w:tcPr>
            <w:tcW w:w="4014" w:type="dxa"/>
          </w:tcPr>
          <w:p>
            <w:pPr>
              <w:pStyle w:val="125"/>
              <w:spacing w:before="4"/>
            </w:pPr>
            <w:r>
              <w:rPr>
                <w:rFonts w:hint="eastAsia" w:ascii="Times New Roman" w:hAnsi="Times New Roman" w:cs="Times New Roman"/>
                <w:bCs/>
                <w:lang w:bidi="ar-SA"/>
              </w:rPr>
              <w:t>5.供应商为非企业专业服务机构的，提供有效的执业许可证等证明文件；</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vMerge w:val="continue"/>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ascii="Calibri" w:hAnsi="Calibri"/>
                <w:lang w:val="zh-CN"/>
              </w:rPr>
            </w:pPr>
          </w:p>
        </w:tc>
        <w:tc>
          <w:tcPr>
            <w:tcW w:w="2414" w:type="dxa"/>
            <w:vMerge w:val="continue"/>
            <w:vAlign w:val="center"/>
          </w:tcPr>
          <w:p>
            <w:pPr>
              <w:pStyle w:val="16"/>
              <w:jc w:val="center"/>
              <w:rPr>
                <w:rFonts w:ascii="Calibri" w:hAnsi="Calibri"/>
                <w:lang w:val="zh-CN"/>
              </w:rPr>
            </w:pPr>
          </w:p>
        </w:tc>
        <w:tc>
          <w:tcPr>
            <w:tcW w:w="4014" w:type="dxa"/>
          </w:tcPr>
          <w:p>
            <w:pPr>
              <w:pStyle w:val="125"/>
              <w:spacing w:before="3"/>
            </w:pPr>
            <w:r>
              <w:rPr>
                <w:rFonts w:hint="eastAsia" w:ascii="Times New Roman" w:hAnsi="Times New Roman" w:cs="Times New Roman"/>
                <w:bCs/>
                <w:lang w:bidi="ar-SA"/>
              </w:rPr>
              <w:t>6.供应商为自然人的，提供有效的自然人身份证件；</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vMerge w:val="continue"/>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Merge w:val="continue"/>
            <w:vAlign w:val="center"/>
          </w:tcPr>
          <w:p>
            <w:pPr>
              <w:pStyle w:val="16"/>
              <w:jc w:val="center"/>
              <w:rPr>
                <w:rFonts w:ascii="Calibri" w:hAnsi="Calibri"/>
                <w:lang w:val="zh-CN"/>
              </w:rPr>
            </w:pPr>
          </w:p>
        </w:tc>
        <w:tc>
          <w:tcPr>
            <w:tcW w:w="2414" w:type="dxa"/>
            <w:vMerge w:val="continue"/>
            <w:vAlign w:val="center"/>
          </w:tcPr>
          <w:p>
            <w:pPr>
              <w:pStyle w:val="16"/>
              <w:jc w:val="center"/>
              <w:rPr>
                <w:rFonts w:ascii="Calibri" w:hAnsi="Calibri"/>
                <w:lang w:val="zh-CN"/>
              </w:rPr>
            </w:pPr>
          </w:p>
        </w:tc>
        <w:tc>
          <w:tcPr>
            <w:tcW w:w="4014" w:type="dxa"/>
          </w:tcPr>
          <w:p>
            <w:pPr>
              <w:pStyle w:val="125"/>
              <w:spacing w:before="3" w:line="242" w:lineRule="auto"/>
              <w:ind w:right="22"/>
            </w:pPr>
            <w:r>
              <w:rPr>
                <w:rFonts w:hint="eastAsia" w:ascii="Times New Roman" w:hAnsi="Times New Roman" w:cs="Times New Roman"/>
                <w:bCs/>
                <w:lang w:bidi="ar-SA"/>
              </w:rPr>
              <w:t>7.其他：供应商应按照有关法律、法规和规章规定，提供有效的相应具体证照。</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vMerge w:val="continue"/>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ascii="Calibri" w:hAnsi="Calibri"/>
                <w:bCs/>
                <w:sz w:val="22"/>
                <w:szCs w:val="22"/>
              </w:rPr>
            </w:pPr>
            <w:r>
              <w:rPr>
                <w:rFonts w:hint="eastAsia" w:ascii="Calibri" w:hAnsi="Calibri"/>
                <w:bCs/>
                <w:sz w:val="22"/>
                <w:szCs w:val="22"/>
              </w:rPr>
              <w:t>2</w:t>
            </w:r>
          </w:p>
        </w:tc>
        <w:tc>
          <w:tcPr>
            <w:tcW w:w="2414" w:type="dxa"/>
            <w:vAlign w:val="center"/>
          </w:tcPr>
          <w:p>
            <w:pPr>
              <w:pStyle w:val="125"/>
              <w:spacing w:before="3"/>
              <w:jc w:val="both"/>
              <w:rPr>
                <w:rFonts w:ascii="Times New Roman" w:hAnsi="Times New Roman" w:cs="Times New Roman"/>
                <w:bCs/>
                <w:lang w:bidi="ar-SA"/>
              </w:rPr>
            </w:pPr>
            <w:r>
              <w:rPr>
                <w:rFonts w:hint="eastAsia" w:ascii="Times New Roman" w:hAnsi="Times New Roman" w:cs="Times New Roman"/>
                <w:bCs/>
                <w:lang w:bidi="ar-SA"/>
              </w:rPr>
              <w:t>具有良好的商业信誉和健全的财务会计制度</w:t>
            </w:r>
          </w:p>
        </w:tc>
        <w:tc>
          <w:tcPr>
            <w:tcW w:w="4014" w:type="dxa"/>
          </w:tcPr>
          <w:p>
            <w:pPr>
              <w:pStyle w:val="125"/>
              <w:spacing w:before="3"/>
              <w:rPr>
                <w:rFonts w:ascii="Times New Roman" w:hAnsi="Times New Roman" w:cs="Times New Roman"/>
                <w:bCs/>
                <w:lang w:bidi="ar-SA"/>
              </w:rPr>
            </w:pPr>
            <w:r>
              <w:rPr>
                <w:rFonts w:hint="eastAsia" w:ascii="Times New Roman" w:hAnsi="Times New Roman" w:cs="Times New Roman"/>
                <w:bCs/>
                <w:lang w:bidi="ar-SA"/>
              </w:rPr>
              <w:t>提供经审计的上一年度的年度财务报告或银行资信证明或承诺函</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ascii="Calibri" w:hAnsi="Calibri"/>
                <w:bCs/>
                <w:sz w:val="22"/>
                <w:szCs w:val="22"/>
              </w:rPr>
            </w:pPr>
            <w:r>
              <w:rPr>
                <w:rFonts w:hint="eastAsia" w:ascii="Calibri" w:hAnsi="Calibri"/>
                <w:bCs/>
                <w:sz w:val="22"/>
                <w:szCs w:val="22"/>
              </w:rPr>
              <w:t>3</w:t>
            </w:r>
          </w:p>
        </w:tc>
        <w:tc>
          <w:tcPr>
            <w:tcW w:w="2414" w:type="dxa"/>
            <w:vAlign w:val="center"/>
          </w:tcPr>
          <w:p>
            <w:pPr>
              <w:pStyle w:val="125"/>
              <w:spacing w:before="2"/>
              <w:jc w:val="both"/>
              <w:rPr>
                <w:rFonts w:ascii="Times New Roman" w:hAnsi="Times New Roman" w:cs="Times New Roman"/>
                <w:bCs/>
                <w:lang w:bidi="ar-SA"/>
              </w:rPr>
            </w:pPr>
            <w:r>
              <w:rPr>
                <w:rFonts w:hint="eastAsia" w:ascii="Times New Roman" w:hAnsi="Times New Roman" w:cs="Times New Roman"/>
                <w:bCs/>
                <w:lang w:bidi="ar-SA"/>
              </w:rPr>
              <w:t>具有履行合同所必需的设备和专业技术能力</w:t>
            </w:r>
          </w:p>
        </w:tc>
        <w:tc>
          <w:tcPr>
            <w:tcW w:w="4014" w:type="dxa"/>
          </w:tcPr>
          <w:p>
            <w:pPr>
              <w:pStyle w:val="125"/>
              <w:spacing w:before="158"/>
              <w:rPr>
                <w:rFonts w:ascii="Times New Roman" w:hAnsi="Times New Roman" w:cs="Times New Roman"/>
                <w:bCs/>
                <w:lang w:bidi="ar-SA"/>
              </w:rPr>
            </w:pPr>
            <w:r>
              <w:rPr>
                <w:rFonts w:hint="eastAsia" w:ascii="Times New Roman" w:hAnsi="Times New Roman" w:cs="Times New Roman"/>
                <w:bCs/>
                <w:lang w:bidi="ar-SA"/>
              </w:rPr>
              <w:t>提供相关证明材料或承诺函</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ascii="Calibri" w:hAnsi="Calibri"/>
                <w:bCs/>
                <w:sz w:val="22"/>
                <w:szCs w:val="22"/>
              </w:rPr>
            </w:pPr>
            <w:r>
              <w:rPr>
                <w:rFonts w:hint="eastAsia" w:ascii="Calibri" w:hAnsi="Calibri"/>
                <w:bCs/>
                <w:sz w:val="22"/>
                <w:szCs w:val="22"/>
              </w:rPr>
              <w:t>4</w:t>
            </w:r>
          </w:p>
        </w:tc>
        <w:tc>
          <w:tcPr>
            <w:tcW w:w="2414" w:type="dxa"/>
            <w:vAlign w:val="center"/>
          </w:tcPr>
          <w:p>
            <w:pPr>
              <w:pStyle w:val="125"/>
              <w:spacing w:line="242" w:lineRule="auto"/>
              <w:ind w:right="95"/>
              <w:jc w:val="both"/>
              <w:rPr>
                <w:rFonts w:ascii="Times New Roman" w:hAnsi="Times New Roman" w:cs="Times New Roman"/>
                <w:bCs/>
                <w:lang w:bidi="ar-SA"/>
              </w:rPr>
            </w:pPr>
            <w:r>
              <w:rPr>
                <w:rFonts w:hint="eastAsia" w:ascii="Times New Roman" w:hAnsi="Times New Roman" w:cs="Times New Roman"/>
                <w:bCs/>
                <w:lang w:bidi="ar-SA"/>
              </w:rPr>
              <w:t>有依法缴纳税收的良好记录</w:t>
            </w:r>
          </w:p>
        </w:tc>
        <w:tc>
          <w:tcPr>
            <w:tcW w:w="4014"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提供投标文件送达截止时间前六个月(不含投标文件送达截止时间的当月) 中任一月份的税收缴纳凭据或依法免税相关证明材料或依法缴纳税收承诺书(格式自拟)。</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6"/>
              <w:jc w:val="center"/>
              <w:rPr>
                <w:rFonts w:ascii="Calibri" w:hAnsi="Calibri"/>
                <w:bCs/>
                <w:sz w:val="22"/>
                <w:szCs w:val="22"/>
              </w:rPr>
            </w:pPr>
            <w:r>
              <w:rPr>
                <w:rFonts w:hint="eastAsia" w:ascii="Calibri" w:hAnsi="Calibri"/>
                <w:bCs/>
                <w:sz w:val="22"/>
                <w:szCs w:val="22"/>
              </w:rPr>
              <w:t>5</w:t>
            </w:r>
          </w:p>
        </w:tc>
        <w:tc>
          <w:tcPr>
            <w:tcW w:w="2414" w:type="dxa"/>
            <w:vAlign w:val="center"/>
          </w:tcPr>
          <w:p>
            <w:pPr>
              <w:pStyle w:val="125"/>
              <w:spacing w:line="242" w:lineRule="auto"/>
              <w:ind w:right="95"/>
              <w:jc w:val="both"/>
              <w:rPr>
                <w:rFonts w:ascii="Times New Roman" w:hAnsi="Times New Roman" w:cs="Times New Roman"/>
                <w:bCs/>
                <w:lang w:bidi="ar-SA"/>
              </w:rPr>
            </w:pPr>
            <w:r>
              <w:rPr>
                <w:rFonts w:hint="eastAsia" w:ascii="Times New Roman" w:hAnsi="Times New Roman" w:cs="Times New Roman"/>
                <w:bCs/>
                <w:lang w:bidi="ar-SA"/>
              </w:rPr>
              <w:t>有依法缴纳社会保障资金的良好记录</w:t>
            </w:r>
          </w:p>
        </w:tc>
        <w:tc>
          <w:tcPr>
            <w:tcW w:w="4014" w:type="dxa"/>
          </w:tcPr>
          <w:p>
            <w:pPr>
              <w:pStyle w:val="125"/>
              <w:spacing w:before="157" w:line="310" w:lineRule="atLeast"/>
              <w:ind w:left="108" w:right="96"/>
              <w:jc w:val="both"/>
              <w:rPr>
                <w:rFonts w:ascii="Times New Roman" w:hAnsi="Times New Roman" w:cs="Times New Roman"/>
                <w:bCs/>
                <w:lang w:bidi="ar-SA"/>
              </w:rPr>
            </w:pPr>
            <w:r>
              <w:rPr>
                <w:rFonts w:hint="eastAsia" w:ascii="Times New Roman" w:hAnsi="Times New Roman" w:cs="Times New Roman"/>
                <w:bCs/>
                <w:lang w:bidi="ar-SA"/>
              </w:rPr>
              <w:t>提供投标文件送达截止时间前六个月(不含投标文件送达截止时间的当月) 中任一月份的社会保障资金缴纳凭据或依法不需要缴纳社会保障资金相关证明材料或依法缴纳社会保障资金承诺书(格式自拟)。</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6</w:t>
            </w:r>
          </w:p>
        </w:tc>
        <w:tc>
          <w:tcPr>
            <w:tcW w:w="2414"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参加政府采购活动前三年内，在经营活动中没有重大违法记录</w:t>
            </w:r>
          </w:p>
        </w:tc>
        <w:tc>
          <w:tcPr>
            <w:tcW w:w="4014"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提供参加政府采购活动前三年内经营活动中没有重大违法记录的书面承诺函或声明函</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7</w:t>
            </w:r>
          </w:p>
        </w:tc>
        <w:tc>
          <w:tcPr>
            <w:tcW w:w="2414"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法律、行政法规规定的其他条件</w:t>
            </w:r>
          </w:p>
        </w:tc>
        <w:tc>
          <w:tcPr>
            <w:tcW w:w="4014"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由供应商提供书面承诺及声明，或提供相应证明材料。</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8</w:t>
            </w:r>
          </w:p>
        </w:tc>
        <w:tc>
          <w:tcPr>
            <w:tcW w:w="2414"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单位负责人为同一人或者存在直接控股、管理关系的不同供应商，不得参加本项目同一合同项下的政府采购活动</w:t>
            </w:r>
          </w:p>
        </w:tc>
        <w:tc>
          <w:tcPr>
            <w:tcW w:w="4014" w:type="dxa"/>
          </w:tcPr>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提供承诺函或相关声明</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val="en-US" w:bidi="ar-SA"/>
              </w:rPr>
              <w:t>9</w:t>
            </w:r>
          </w:p>
        </w:tc>
        <w:tc>
          <w:tcPr>
            <w:tcW w:w="2414" w:type="dxa"/>
          </w:tcPr>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未被列入失信被执行人、税收违法黑名单，未被列入政府采购严重违法失信行为记录名单</w:t>
            </w:r>
          </w:p>
        </w:tc>
        <w:tc>
          <w:tcPr>
            <w:tcW w:w="4014" w:type="dxa"/>
          </w:tcPr>
          <w:p>
            <w:pPr>
              <w:pStyle w:val="125"/>
              <w:spacing w:before="155" w:line="310" w:lineRule="atLeast"/>
              <w:ind w:right="96"/>
              <w:jc w:val="both"/>
              <w:rPr>
                <w:rFonts w:ascii="Times New Roman" w:hAnsi="Times New Roman" w:cs="Times New Roman"/>
                <w:bCs/>
                <w:lang w:bidi="ar-SA"/>
              </w:rPr>
            </w:pPr>
            <w:r>
              <w:rPr>
                <w:rFonts w:hint="eastAsia"/>
                <w:spacing w:val="-1"/>
                <w:sz w:val="21"/>
                <w:szCs w:val="21"/>
              </w:rPr>
              <w:t>供应商未被“信用中国”网站（www.creditchina.gov.cn）列入失信被执行人、税收违法黑名单和“中国政府采购网”（http://www.ccgp.gov.cn/）政府采购严重违法失信行为记录名单并提供网页截图加盖单位公章以证明（提供网站截图并加盖公章）；</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tcPr>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val="en-US" w:bidi="ar-SA"/>
              </w:rPr>
            </w:pPr>
            <w:r>
              <w:rPr>
                <w:rFonts w:hint="eastAsia" w:ascii="Times New Roman" w:hAnsi="Times New Roman" w:cs="Times New Roman"/>
                <w:bCs/>
                <w:lang w:val="en-US" w:bidi="ar-SA"/>
              </w:rPr>
              <w:t>10</w:t>
            </w:r>
          </w:p>
        </w:tc>
        <w:tc>
          <w:tcPr>
            <w:tcW w:w="2414" w:type="dxa"/>
          </w:tcPr>
          <w:p>
            <w:pPr>
              <w:pStyle w:val="125"/>
              <w:spacing w:before="155" w:line="310" w:lineRule="atLeast"/>
              <w:ind w:right="96"/>
              <w:jc w:val="both"/>
              <w:rPr>
                <w:rFonts w:ascii="Times New Roman" w:hAnsi="Times New Roman" w:cs="Times New Roman"/>
                <w:bCs/>
                <w:lang w:bidi="ar-SA"/>
              </w:rPr>
            </w:pPr>
          </w:p>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落实政府采购政策需满足的资格要求</w:t>
            </w:r>
          </w:p>
        </w:tc>
        <w:tc>
          <w:tcPr>
            <w:tcW w:w="4014" w:type="dxa"/>
          </w:tcPr>
          <w:p>
            <w:pPr>
              <w:pStyle w:val="125"/>
              <w:spacing w:before="155" w:line="310" w:lineRule="atLeast"/>
              <w:ind w:right="96"/>
              <w:jc w:val="both"/>
              <w:rPr>
                <w:rFonts w:ascii="Times New Roman" w:hAnsi="Times New Roman" w:cs="Times New Roman"/>
                <w:bCs/>
                <w:lang w:bidi="ar-SA"/>
              </w:rPr>
            </w:pPr>
            <w:r>
              <w:rPr>
                <w:rFonts w:hint="eastAsia" w:ascii="Times New Roman" w:hAnsi="Times New Roman" w:cs="Times New Roman"/>
                <w:bCs/>
                <w:lang w:bidi="ar-SA"/>
              </w:rPr>
              <w:t>本项目专门面向中小企业采购，投标人应为符合《政府采购促进中小企业发展管理办法》（财库〔2020〕46 号）规定的中小企业，提供《中小企业声明函》，否则其投标将被拒绝。</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 w:type="dxa"/>
            <w:vAlign w:val="center"/>
          </w:tcPr>
          <w:p>
            <w:pPr>
              <w:pStyle w:val="125"/>
              <w:spacing w:before="155" w:line="310" w:lineRule="atLeast"/>
              <w:ind w:right="96"/>
              <w:jc w:val="center"/>
              <w:rPr>
                <w:rFonts w:ascii="Times New Roman" w:hAnsi="Times New Roman" w:cs="Times New Roman"/>
                <w:bCs/>
                <w:lang w:val="en-US" w:bidi="ar-SA"/>
              </w:rPr>
            </w:pPr>
            <w:r>
              <w:rPr>
                <w:rFonts w:hint="eastAsia" w:ascii="Times New Roman" w:hAnsi="Times New Roman" w:cs="Times New Roman"/>
                <w:bCs/>
                <w:lang w:val="en-US" w:bidi="ar-SA"/>
              </w:rPr>
              <w:t>11</w:t>
            </w:r>
          </w:p>
        </w:tc>
        <w:tc>
          <w:tcPr>
            <w:tcW w:w="2414" w:type="dxa"/>
            <w:vAlign w:val="center"/>
          </w:tcPr>
          <w:p>
            <w:pPr>
              <w:pStyle w:val="125"/>
              <w:spacing w:before="155" w:line="310" w:lineRule="atLeast"/>
              <w:ind w:right="96"/>
              <w:jc w:val="center"/>
              <w:rPr>
                <w:rFonts w:ascii="Times New Roman" w:hAnsi="Times New Roman" w:cs="Times New Roman"/>
                <w:bCs/>
                <w:lang w:bidi="ar-SA"/>
              </w:rPr>
            </w:pPr>
            <w:r>
              <w:rPr>
                <w:rFonts w:hint="eastAsia" w:ascii="Times New Roman" w:hAnsi="Times New Roman" w:cs="Times New Roman"/>
                <w:bCs/>
                <w:lang w:bidi="ar-SA"/>
              </w:rPr>
              <w:t>本项目的特定资格条件</w:t>
            </w:r>
          </w:p>
        </w:tc>
        <w:tc>
          <w:tcPr>
            <w:tcW w:w="4014" w:type="dxa"/>
          </w:tcPr>
          <w:p>
            <w:pPr>
              <w:pStyle w:val="125"/>
              <w:spacing w:before="155" w:line="192" w:lineRule="auto"/>
              <w:ind w:right="96" w:firstLine="440"/>
              <w:jc w:val="both"/>
              <w:rPr>
                <w:rFonts w:ascii="Times New Roman" w:hAnsi="Times New Roman" w:cs="Times New Roman"/>
                <w:bCs/>
                <w:lang w:bidi="ar-SA"/>
              </w:rPr>
            </w:pPr>
            <w:r>
              <w:rPr>
                <w:rFonts w:hint="eastAsia" w:ascii="Times New Roman" w:hAnsi="Times New Roman" w:cs="Times New Roman"/>
                <w:bCs/>
                <w:highlight w:val="yellow"/>
                <w:lang w:bidi="ar-SA"/>
              </w:rPr>
              <w:t>本次采购接受联合体参与。</w:t>
            </w:r>
            <w:r>
              <w:rPr>
                <w:rFonts w:hint="eastAsia"/>
                <w:b/>
                <w:bCs/>
                <w:color w:val="FF0000"/>
                <w:szCs w:val="20"/>
              </w:rPr>
              <w:t>供应商为联合体投标时，联合体成员均须提供以上要求证明材料，</w:t>
            </w:r>
            <w:r>
              <w:rPr>
                <w:b/>
                <w:bCs/>
                <w:color w:val="FF0000"/>
                <w:szCs w:val="20"/>
              </w:rPr>
              <w:t>联合体各方应签订联合体投标协议书，明确联合体牵头人和各方权利义务，并将该联合体协议书随同投标文件一并递交</w:t>
            </w:r>
          </w:p>
        </w:tc>
        <w:tc>
          <w:tcPr>
            <w:tcW w:w="1200" w:type="dxa"/>
            <w:vAlign w:val="center"/>
          </w:tcPr>
          <w:p>
            <w:pPr>
              <w:pStyle w:val="16"/>
              <w:jc w:val="center"/>
              <w:rPr>
                <w:rFonts w:ascii="Calibri" w:hAnsi="Calibri"/>
                <w:lang w:val="zh-CN"/>
              </w:rPr>
            </w:pPr>
            <w:r>
              <w:rPr>
                <w:rFonts w:hint="eastAsia" w:ascii="Calibri" w:hAnsi="Calibri"/>
                <w:lang w:val="zh-CN"/>
              </w:rPr>
              <w:t>否</w:t>
            </w:r>
          </w:p>
        </w:tc>
        <w:tc>
          <w:tcPr>
            <w:tcW w:w="996" w:type="dxa"/>
          </w:tcPr>
          <w:p>
            <w:pPr>
              <w:pStyle w:val="16"/>
              <w:rPr>
                <w:rFonts w:ascii="Calibri" w:hAnsi="Calibri"/>
                <w:lang w:val="zh-CN"/>
              </w:rPr>
            </w:pPr>
          </w:p>
        </w:tc>
      </w:tr>
    </w:tbl>
    <w:p>
      <w:pPr>
        <w:rPr>
          <w:lang w:val="zh-CN"/>
        </w:rPr>
      </w:pPr>
      <w:r>
        <w:rPr>
          <w:rFonts w:hint="eastAsia"/>
          <w:lang w:val="zh-CN"/>
        </w:rPr>
        <w:br w:type="page"/>
      </w:r>
    </w:p>
    <w:p>
      <w:pPr>
        <w:pStyle w:val="28"/>
        <w:ind w:left="0" w:leftChars="0" w:firstLine="0" w:firstLineChars="0"/>
        <w:rPr>
          <w:sz w:val="24"/>
        </w:rPr>
      </w:pPr>
      <w:r>
        <w:rPr>
          <w:rFonts w:hint="eastAsia"/>
          <w:sz w:val="24"/>
        </w:rPr>
        <w:t>1.2</w:t>
      </w:r>
      <w:r>
        <w:rPr>
          <w:sz w:val="24"/>
        </w:rPr>
        <w:t>符合性审查标准：</w:t>
      </w:r>
    </w:p>
    <w:p>
      <w:pPr>
        <w:widowControl/>
        <w:rPr>
          <w:bCs/>
          <w:sz w:val="22"/>
          <w:szCs w:val="22"/>
          <w:lang w:val="zh-CN"/>
        </w:rPr>
      </w:pPr>
      <w:r>
        <w:rPr>
          <w:sz w:val="24"/>
        </w:rPr>
        <w:t>符合性审查不符合下表情形之一的投标，按照</w:t>
      </w:r>
      <w:r>
        <w:rPr>
          <w:b/>
          <w:sz w:val="24"/>
        </w:rPr>
        <w:t>无效投标处理</w:t>
      </w:r>
    </w:p>
    <w:tbl>
      <w:tblPr>
        <w:tblStyle w:val="29"/>
        <w:tblpPr w:leftFromText="180" w:rightFromText="180" w:vertAnchor="text" w:horzAnchor="margin" w:tblpXSpec="center" w:tblpY="43"/>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823"/>
        <w:gridCol w:w="2027"/>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707" w:type="dxa"/>
            <w:vAlign w:val="center"/>
          </w:tcPr>
          <w:p>
            <w:pPr>
              <w:widowControl/>
              <w:rPr>
                <w:bCs/>
                <w:sz w:val="22"/>
                <w:szCs w:val="22"/>
                <w:lang w:val="zh-CN"/>
              </w:rPr>
            </w:pPr>
            <w:r>
              <w:rPr>
                <w:rFonts w:hint="eastAsia"/>
                <w:bCs/>
                <w:sz w:val="22"/>
                <w:szCs w:val="22"/>
                <w:lang w:val="zh-CN"/>
              </w:rPr>
              <w:t>序号</w:t>
            </w:r>
          </w:p>
        </w:tc>
        <w:tc>
          <w:tcPr>
            <w:tcW w:w="2850" w:type="dxa"/>
            <w:gridSpan w:val="2"/>
            <w:vAlign w:val="center"/>
          </w:tcPr>
          <w:p>
            <w:pPr>
              <w:widowControl/>
              <w:rPr>
                <w:bCs/>
                <w:sz w:val="22"/>
                <w:szCs w:val="22"/>
                <w:lang w:val="zh-CN"/>
              </w:rPr>
            </w:pPr>
            <w:r>
              <w:rPr>
                <w:rFonts w:hint="eastAsia"/>
                <w:bCs/>
                <w:sz w:val="22"/>
                <w:szCs w:val="22"/>
                <w:lang w:val="zh-CN"/>
              </w:rPr>
              <w:t>评审因素</w:t>
            </w:r>
          </w:p>
        </w:tc>
        <w:tc>
          <w:tcPr>
            <w:tcW w:w="5441" w:type="dxa"/>
            <w:vAlign w:val="center"/>
          </w:tcPr>
          <w:p>
            <w:pPr>
              <w:widowControl/>
              <w:rPr>
                <w:bCs/>
                <w:sz w:val="22"/>
                <w:szCs w:val="22"/>
                <w:lang w:val="zh-CN"/>
              </w:rPr>
            </w:pPr>
            <w:r>
              <w:rPr>
                <w:rFonts w:hint="eastAsia"/>
                <w:bCs/>
                <w:sz w:val="22"/>
                <w:szCs w:val="22"/>
                <w:lang w:val="zh-CN"/>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 w:hRule="atLeast"/>
        </w:trPr>
        <w:tc>
          <w:tcPr>
            <w:tcW w:w="707" w:type="dxa"/>
            <w:vMerge w:val="restart"/>
          </w:tcPr>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r>
              <w:rPr>
                <w:rFonts w:hint="eastAsia"/>
                <w:bCs/>
                <w:sz w:val="22"/>
                <w:szCs w:val="22"/>
                <w:lang w:val="zh-CN"/>
              </w:rPr>
              <w:t>1</w:t>
            </w:r>
          </w:p>
        </w:tc>
        <w:tc>
          <w:tcPr>
            <w:tcW w:w="823" w:type="dxa"/>
            <w:vMerge w:val="restart"/>
          </w:tcPr>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r>
              <w:rPr>
                <w:rFonts w:hint="eastAsia"/>
                <w:bCs/>
                <w:sz w:val="22"/>
                <w:szCs w:val="22"/>
                <w:lang w:val="zh-CN"/>
              </w:rPr>
              <w:t>有效性审查</w:t>
            </w:r>
          </w:p>
        </w:tc>
        <w:tc>
          <w:tcPr>
            <w:tcW w:w="2027" w:type="dxa"/>
            <w:vAlign w:val="center"/>
          </w:tcPr>
          <w:p>
            <w:pPr>
              <w:widowControl/>
              <w:rPr>
                <w:bCs/>
                <w:sz w:val="22"/>
                <w:szCs w:val="22"/>
                <w:lang w:val="zh-CN"/>
              </w:rPr>
            </w:pPr>
            <w:r>
              <w:rPr>
                <w:rFonts w:hint="eastAsia"/>
                <w:bCs/>
                <w:sz w:val="22"/>
                <w:szCs w:val="22"/>
                <w:lang w:val="zh-CN"/>
              </w:rPr>
              <w:t>投标报价</w:t>
            </w:r>
          </w:p>
        </w:tc>
        <w:tc>
          <w:tcPr>
            <w:tcW w:w="5441" w:type="dxa"/>
            <w:vAlign w:val="center"/>
          </w:tcPr>
          <w:p>
            <w:pPr>
              <w:widowControl/>
              <w:rPr>
                <w:bCs/>
                <w:sz w:val="22"/>
                <w:szCs w:val="22"/>
                <w:lang w:val="zh-CN"/>
              </w:rPr>
            </w:pPr>
            <w:r>
              <w:rPr>
                <w:rFonts w:hint="eastAsia"/>
                <w:bCs/>
                <w:sz w:val="22"/>
                <w:szCs w:val="22"/>
                <w:lang w:val="zh-CN"/>
              </w:rPr>
              <w:t>只有一个有效投标报价，且报价</w:t>
            </w:r>
            <w:r>
              <w:rPr>
                <w:rFonts w:hint="eastAsia"/>
                <w:bCs/>
                <w:sz w:val="22"/>
                <w:szCs w:val="22"/>
              </w:rPr>
              <w:t>不高于磋商控制价</w:t>
            </w:r>
            <w:r>
              <w:rPr>
                <w:rFonts w:hint="eastAsia"/>
                <w:bCs/>
                <w:sz w:val="22"/>
                <w:szCs w:val="22"/>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投标文件要求</w:t>
            </w:r>
          </w:p>
        </w:tc>
        <w:tc>
          <w:tcPr>
            <w:tcW w:w="5441" w:type="dxa"/>
            <w:vAlign w:val="center"/>
          </w:tcPr>
          <w:p>
            <w:pPr>
              <w:widowControl/>
              <w:rPr>
                <w:bCs/>
                <w:sz w:val="22"/>
                <w:szCs w:val="22"/>
                <w:lang w:val="zh-CN"/>
              </w:rPr>
            </w:pPr>
            <w:r>
              <w:rPr>
                <w:rFonts w:hint="eastAsia"/>
                <w:bCs/>
                <w:sz w:val="22"/>
                <w:szCs w:val="22"/>
                <w:lang w:val="zh-CN"/>
              </w:rPr>
              <w:t>投标书或资格证明文件符合招标文件要求。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投标有效期</w:t>
            </w:r>
          </w:p>
        </w:tc>
        <w:tc>
          <w:tcPr>
            <w:tcW w:w="5441" w:type="dxa"/>
            <w:vAlign w:val="center"/>
          </w:tcPr>
          <w:p>
            <w:pPr>
              <w:widowControl/>
              <w:rPr>
                <w:bCs/>
                <w:sz w:val="22"/>
                <w:szCs w:val="22"/>
                <w:lang w:val="zh-CN"/>
              </w:rPr>
            </w:pPr>
            <w:r>
              <w:rPr>
                <w:rFonts w:hint="eastAsia"/>
                <w:bCs/>
                <w:sz w:val="22"/>
                <w:szCs w:val="22"/>
                <w:lang w:val="zh-CN"/>
              </w:rPr>
              <w:t>投标有效期满足规定。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经营范围</w:t>
            </w:r>
          </w:p>
        </w:tc>
        <w:tc>
          <w:tcPr>
            <w:tcW w:w="5441" w:type="dxa"/>
            <w:vAlign w:val="center"/>
          </w:tcPr>
          <w:p>
            <w:pPr>
              <w:widowControl/>
              <w:rPr>
                <w:bCs/>
                <w:sz w:val="22"/>
                <w:szCs w:val="22"/>
                <w:lang w:val="zh-CN"/>
              </w:rPr>
            </w:pPr>
            <w:r>
              <w:rPr>
                <w:rFonts w:hint="eastAsia"/>
                <w:bCs/>
                <w:sz w:val="22"/>
                <w:szCs w:val="22"/>
                <w:lang w:val="zh-CN"/>
              </w:rPr>
              <w:t>没有超出经营范围投标的。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服务期</w:t>
            </w:r>
          </w:p>
        </w:tc>
        <w:tc>
          <w:tcPr>
            <w:tcW w:w="5441" w:type="dxa"/>
            <w:vAlign w:val="center"/>
          </w:tcPr>
          <w:p>
            <w:pPr>
              <w:widowControl/>
              <w:rPr>
                <w:bCs/>
                <w:sz w:val="22"/>
                <w:szCs w:val="22"/>
                <w:lang w:val="zh-CN"/>
              </w:rPr>
            </w:pPr>
            <w:r>
              <w:rPr>
                <w:rFonts w:hint="eastAsia"/>
                <w:bCs/>
                <w:sz w:val="22"/>
                <w:szCs w:val="22"/>
                <w:lang w:val="zh-CN"/>
              </w:rPr>
              <w:t>满足招标文件的要求。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投标文件规范</w:t>
            </w:r>
          </w:p>
        </w:tc>
        <w:tc>
          <w:tcPr>
            <w:tcW w:w="5441" w:type="dxa"/>
            <w:vAlign w:val="center"/>
          </w:tcPr>
          <w:p>
            <w:pPr>
              <w:widowControl/>
              <w:rPr>
                <w:bCs/>
                <w:sz w:val="22"/>
                <w:szCs w:val="22"/>
                <w:lang w:val="zh-CN"/>
              </w:rPr>
            </w:pPr>
            <w:r>
              <w:rPr>
                <w:rFonts w:hint="eastAsia"/>
                <w:bCs/>
                <w:sz w:val="22"/>
                <w:szCs w:val="22"/>
                <w:lang w:val="zh-CN"/>
              </w:rPr>
              <w:t>按照招标文件规定要求对投标文件密封、签署、盖章的。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投标文件签署</w:t>
            </w:r>
          </w:p>
        </w:tc>
        <w:tc>
          <w:tcPr>
            <w:tcW w:w="5441" w:type="dxa"/>
            <w:vAlign w:val="center"/>
          </w:tcPr>
          <w:p>
            <w:pPr>
              <w:widowControl/>
              <w:rPr>
                <w:bCs/>
                <w:sz w:val="22"/>
                <w:szCs w:val="22"/>
                <w:lang w:val="zh-CN"/>
              </w:rPr>
            </w:pPr>
            <w:r>
              <w:rPr>
                <w:rFonts w:hint="eastAsia"/>
                <w:bCs/>
                <w:sz w:val="22"/>
                <w:szCs w:val="22"/>
                <w:lang w:val="zh-CN"/>
              </w:rPr>
              <w:t>投标文件上法定代表人或其授权代表人的签字齐全。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法定代表人身份证明及授权委托书</w:t>
            </w:r>
          </w:p>
        </w:tc>
        <w:tc>
          <w:tcPr>
            <w:tcW w:w="5441" w:type="dxa"/>
            <w:vAlign w:val="center"/>
          </w:tcPr>
          <w:p>
            <w:pPr>
              <w:widowControl/>
              <w:rPr>
                <w:bCs/>
                <w:sz w:val="22"/>
                <w:szCs w:val="22"/>
                <w:lang w:val="zh-CN"/>
              </w:rPr>
            </w:pPr>
            <w:r>
              <w:rPr>
                <w:rFonts w:hint="eastAsia"/>
                <w:bCs/>
                <w:sz w:val="22"/>
                <w:szCs w:val="22"/>
                <w:lang w:val="zh-CN"/>
              </w:rPr>
              <w:t>法定代表人身份证明及授权委托书有效，且符合招标文 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3"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Merge w:val="restart"/>
            <w:vAlign w:val="center"/>
          </w:tcPr>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r>
              <w:rPr>
                <w:rFonts w:hint="eastAsia"/>
                <w:bCs/>
                <w:sz w:val="22"/>
                <w:szCs w:val="22"/>
                <w:lang w:val="zh-CN"/>
              </w:rPr>
              <w:t>其他</w:t>
            </w:r>
          </w:p>
        </w:tc>
        <w:tc>
          <w:tcPr>
            <w:tcW w:w="5441" w:type="dxa"/>
            <w:vAlign w:val="center"/>
          </w:tcPr>
          <w:p>
            <w:pPr>
              <w:widowControl/>
              <w:rPr>
                <w:bCs/>
                <w:sz w:val="22"/>
                <w:szCs w:val="22"/>
                <w:lang w:val="zh-CN"/>
              </w:rPr>
            </w:pPr>
            <w:r>
              <w:rPr>
                <w:rFonts w:hint="eastAsia"/>
                <w:bCs/>
                <w:sz w:val="22"/>
                <w:szCs w:val="22"/>
                <w:lang w:val="zh-CN"/>
              </w:rPr>
              <w:t>招标文件中规定被视为无效投标的其它条款的。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Merge w:val="continue"/>
            <w:vAlign w:val="center"/>
          </w:tcPr>
          <w:p>
            <w:pPr>
              <w:widowControl/>
              <w:rPr>
                <w:bCs/>
                <w:sz w:val="22"/>
                <w:szCs w:val="22"/>
                <w:lang w:val="zh-CN"/>
              </w:rPr>
            </w:pPr>
          </w:p>
        </w:tc>
        <w:tc>
          <w:tcPr>
            <w:tcW w:w="5441" w:type="dxa"/>
            <w:vAlign w:val="center"/>
          </w:tcPr>
          <w:p>
            <w:pPr>
              <w:widowControl/>
              <w:rPr>
                <w:bCs/>
                <w:sz w:val="22"/>
                <w:szCs w:val="22"/>
                <w:lang w:val="zh-CN"/>
              </w:rPr>
            </w:pPr>
            <w:r>
              <w:rPr>
                <w:rFonts w:hint="eastAsia"/>
                <w:bCs/>
                <w:sz w:val="22"/>
                <w:szCs w:val="22"/>
                <w:lang w:val="zh-CN"/>
              </w:rPr>
              <w:t>符合法律、法规和投标文件中规定的其他实质性要求的。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4"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Merge w:val="continue"/>
            <w:vAlign w:val="center"/>
          </w:tcPr>
          <w:p>
            <w:pPr>
              <w:widowControl/>
              <w:rPr>
                <w:bCs/>
                <w:sz w:val="22"/>
                <w:szCs w:val="22"/>
                <w:lang w:val="zh-CN"/>
              </w:rPr>
            </w:pPr>
          </w:p>
        </w:tc>
        <w:tc>
          <w:tcPr>
            <w:tcW w:w="5441" w:type="dxa"/>
            <w:vAlign w:val="center"/>
          </w:tcPr>
          <w:p>
            <w:pPr>
              <w:widowControl/>
              <w:rPr>
                <w:bCs/>
                <w:sz w:val="22"/>
                <w:szCs w:val="22"/>
                <w:lang w:val="zh-CN"/>
              </w:rPr>
            </w:pPr>
            <w:r>
              <w:rPr>
                <w:rFonts w:hint="eastAsia"/>
                <w:bCs/>
                <w:sz w:val="22"/>
                <w:szCs w:val="22"/>
                <w:lang w:val="zh-CN"/>
              </w:rPr>
              <w:t>投标人有下列任一情形视为无效投标：</w:t>
            </w:r>
          </w:p>
          <w:p>
            <w:pPr>
              <w:widowControl/>
              <w:numPr>
                <w:ilvl w:val="0"/>
                <w:numId w:val="6"/>
              </w:numPr>
              <w:rPr>
                <w:bCs/>
                <w:sz w:val="22"/>
                <w:szCs w:val="22"/>
                <w:lang w:val="zh-CN"/>
              </w:rPr>
            </w:pPr>
            <w:r>
              <w:rPr>
                <w:rFonts w:hint="eastAsia"/>
                <w:bCs/>
                <w:sz w:val="22"/>
                <w:szCs w:val="22"/>
                <w:lang w:val="zh-CN"/>
              </w:rPr>
              <w:t>不同投标人的投标文件由同一单位或者个人编制；</w:t>
            </w:r>
          </w:p>
          <w:p>
            <w:pPr>
              <w:widowControl/>
              <w:numPr>
                <w:ilvl w:val="0"/>
                <w:numId w:val="6"/>
              </w:numPr>
              <w:rPr>
                <w:bCs/>
                <w:sz w:val="22"/>
                <w:szCs w:val="22"/>
                <w:lang w:val="zh-CN"/>
              </w:rPr>
            </w:pPr>
            <w:r>
              <w:rPr>
                <w:rFonts w:hint="eastAsia"/>
                <w:bCs/>
                <w:sz w:val="22"/>
                <w:szCs w:val="22"/>
                <w:lang w:val="zh-CN"/>
              </w:rPr>
              <w:t>不同投标人委托同一单位或者个人办理投标事宜；</w:t>
            </w:r>
          </w:p>
          <w:p>
            <w:pPr>
              <w:widowControl/>
              <w:numPr>
                <w:ilvl w:val="0"/>
                <w:numId w:val="6"/>
              </w:numPr>
              <w:rPr>
                <w:bCs/>
                <w:sz w:val="22"/>
                <w:szCs w:val="22"/>
                <w:lang w:val="zh-CN"/>
              </w:rPr>
            </w:pPr>
            <w:r>
              <w:rPr>
                <w:rFonts w:hint="eastAsia"/>
                <w:bCs/>
                <w:sz w:val="22"/>
                <w:szCs w:val="22"/>
                <w:lang w:val="zh-CN"/>
              </w:rPr>
              <w:t>不同投标人的投标文件载明的项目管理成员或者联系人员为同一人；</w:t>
            </w:r>
          </w:p>
          <w:p>
            <w:pPr>
              <w:widowControl/>
              <w:numPr>
                <w:ilvl w:val="0"/>
                <w:numId w:val="6"/>
              </w:numPr>
              <w:rPr>
                <w:bCs/>
                <w:sz w:val="22"/>
                <w:szCs w:val="22"/>
                <w:lang w:val="zh-CN"/>
              </w:rPr>
            </w:pPr>
            <w:r>
              <w:rPr>
                <w:rFonts w:hint="eastAsia"/>
                <w:bCs/>
                <w:sz w:val="22"/>
                <w:szCs w:val="22"/>
                <w:lang w:val="zh-CN"/>
              </w:rPr>
              <w:t>不同投标人的投标文件异常一致或者投标报价呈规律性差异；</w:t>
            </w:r>
          </w:p>
          <w:p>
            <w:pPr>
              <w:widowControl/>
              <w:numPr>
                <w:ilvl w:val="0"/>
                <w:numId w:val="6"/>
              </w:numPr>
              <w:rPr>
                <w:bCs/>
                <w:sz w:val="22"/>
                <w:szCs w:val="22"/>
                <w:lang w:val="zh-CN"/>
              </w:rPr>
            </w:pPr>
            <w:r>
              <w:rPr>
                <w:rFonts w:hint="eastAsia"/>
                <w:bCs/>
                <w:sz w:val="22"/>
                <w:szCs w:val="22"/>
                <w:lang w:val="zh-CN"/>
              </w:rPr>
              <w:t>不同投标人的投标文件相互混装。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707" w:type="dxa"/>
            <w:vMerge w:val="restart"/>
          </w:tcPr>
          <w:p>
            <w:pPr>
              <w:widowControl/>
              <w:rPr>
                <w:bCs/>
                <w:sz w:val="22"/>
                <w:szCs w:val="22"/>
                <w:lang w:val="zh-CN"/>
              </w:rPr>
            </w:pPr>
          </w:p>
          <w:p>
            <w:pPr>
              <w:widowControl/>
              <w:rPr>
                <w:bCs/>
                <w:sz w:val="22"/>
                <w:szCs w:val="22"/>
                <w:lang w:val="zh-CN"/>
              </w:rPr>
            </w:pPr>
            <w:r>
              <w:rPr>
                <w:rFonts w:hint="eastAsia"/>
                <w:bCs/>
                <w:sz w:val="22"/>
                <w:szCs w:val="22"/>
                <w:lang w:val="zh-CN"/>
              </w:rPr>
              <w:t>2</w:t>
            </w:r>
          </w:p>
        </w:tc>
        <w:tc>
          <w:tcPr>
            <w:tcW w:w="823" w:type="dxa"/>
            <w:vMerge w:val="restart"/>
          </w:tcPr>
          <w:p>
            <w:pPr>
              <w:widowControl/>
              <w:rPr>
                <w:bCs/>
                <w:sz w:val="22"/>
                <w:szCs w:val="22"/>
                <w:lang w:val="zh-CN"/>
              </w:rPr>
            </w:pPr>
          </w:p>
          <w:p>
            <w:pPr>
              <w:widowControl/>
              <w:rPr>
                <w:bCs/>
                <w:sz w:val="22"/>
                <w:szCs w:val="22"/>
                <w:lang w:val="zh-CN"/>
              </w:rPr>
            </w:pPr>
            <w:r>
              <w:rPr>
                <w:rFonts w:hint="eastAsia"/>
                <w:bCs/>
                <w:sz w:val="22"/>
                <w:szCs w:val="22"/>
                <w:lang w:val="zh-CN"/>
              </w:rPr>
              <w:t>完整性审查</w:t>
            </w:r>
          </w:p>
        </w:tc>
        <w:tc>
          <w:tcPr>
            <w:tcW w:w="2027" w:type="dxa"/>
            <w:vAlign w:val="center"/>
          </w:tcPr>
          <w:p>
            <w:pPr>
              <w:widowControl/>
              <w:rPr>
                <w:bCs/>
                <w:sz w:val="22"/>
                <w:szCs w:val="22"/>
                <w:lang w:val="zh-CN"/>
              </w:rPr>
            </w:pPr>
            <w:r>
              <w:rPr>
                <w:rFonts w:hint="eastAsia"/>
                <w:bCs/>
                <w:sz w:val="22"/>
                <w:szCs w:val="22"/>
                <w:lang w:val="zh-CN"/>
              </w:rPr>
              <w:t>投标文件份数</w:t>
            </w:r>
          </w:p>
        </w:tc>
        <w:tc>
          <w:tcPr>
            <w:tcW w:w="5441" w:type="dxa"/>
            <w:vAlign w:val="center"/>
          </w:tcPr>
          <w:p>
            <w:pPr>
              <w:widowControl/>
              <w:rPr>
                <w:bCs/>
                <w:sz w:val="22"/>
                <w:szCs w:val="22"/>
                <w:lang w:val="zh-CN"/>
              </w:rPr>
            </w:pPr>
            <w:r>
              <w:rPr>
                <w:rFonts w:hint="eastAsia"/>
                <w:bCs/>
                <w:sz w:val="22"/>
                <w:szCs w:val="22"/>
                <w:lang w:val="zh-CN"/>
              </w:rPr>
              <w:t>投标文件正本、副本及数量符合招标文件要求。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p>
          <w:p>
            <w:pPr>
              <w:widowControl/>
              <w:rPr>
                <w:bCs/>
                <w:sz w:val="22"/>
                <w:szCs w:val="22"/>
                <w:lang w:val="zh-CN"/>
              </w:rPr>
            </w:pPr>
            <w:r>
              <w:rPr>
                <w:rFonts w:hint="eastAsia"/>
                <w:bCs/>
                <w:sz w:val="22"/>
                <w:szCs w:val="22"/>
                <w:lang w:val="zh-CN"/>
              </w:rPr>
              <w:t>投标文件内容</w:t>
            </w:r>
          </w:p>
        </w:tc>
        <w:tc>
          <w:tcPr>
            <w:tcW w:w="5441" w:type="dxa"/>
            <w:vAlign w:val="center"/>
          </w:tcPr>
          <w:p>
            <w:pPr>
              <w:widowControl/>
              <w:rPr>
                <w:bCs/>
                <w:sz w:val="22"/>
                <w:szCs w:val="22"/>
                <w:lang w:val="zh-CN"/>
              </w:rPr>
            </w:pPr>
          </w:p>
          <w:p>
            <w:pPr>
              <w:widowControl/>
              <w:rPr>
                <w:bCs/>
                <w:sz w:val="22"/>
                <w:szCs w:val="22"/>
                <w:lang w:val="zh-CN"/>
              </w:rPr>
            </w:pPr>
            <w:r>
              <w:rPr>
                <w:rFonts w:hint="eastAsia"/>
                <w:bCs/>
                <w:sz w:val="22"/>
                <w:szCs w:val="22"/>
                <w:lang w:val="zh-CN"/>
              </w:rPr>
              <w:t>投标文件内容齐全、无遗漏。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trPr>
        <w:tc>
          <w:tcPr>
            <w:tcW w:w="707" w:type="dxa"/>
            <w:vMerge w:val="restart"/>
          </w:tcPr>
          <w:p>
            <w:pPr>
              <w:widowControl/>
              <w:rPr>
                <w:bCs/>
                <w:sz w:val="22"/>
                <w:szCs w:val="22"/>
                <w:lang w:val="zh-CN"/>
              </w:rPr>
            </w:pPr>
          </w:p>
          <w:p>
            <w:pPr>
              <w:widowControl/>
              <w:rPr>
                <w:bCs/>
                <w:sz w:val="22"/>
                <w:szCs w:val="22"/>
                <w:lang w:val="zh-CN"/>
              </w:rPr>
            </w:pPr>
          </w:p>
          <w:p>
            <w:pPr>
              <w:widowControl/>
              <w:rPr>
                <w:bCs/>
                <w:sz w:val="22"/>
                <w:szCs w:val="22"/>
                <w:lang w:val="zh-CN"/>
              </w:rPr>
            </w:pPr>
          </w:p>
          <w:p>
            <w:pPr>
              <w:widowControl/>
              <w:rPr>
                <w:bCs/>
                <w:sz w:val="22"/>
                <w:szCs w:val="22"/>
                <w:lang w:val="zh-CN"/>
              </w:rPr>
            </w:pPr>
            <w:r>
              <w:rPr>
                <w:rFonts w:hint="eastAsia"/>
                <w:bCs/>
                <w:sz w:val="22"/>
                <w:szCs w:val="22"/>
                <w:lang w:val="zh-CN"/>
              </w:rPr>
              <w:t>3</w:t>
            </w:r>
          </w:p>
        </w:tc>
        <w:tc>
          <w:tcPr>
            <w:tcW w:w="823" w:type="dxa"/>
            <w:vMerge w:val="restart"/>
          </w:tcPr>
          <w:p>
            <w:pPr>
              <w:widowControl/>
              <w:rPr>
                <w:bCs/>
                <w:sz w:val="22"/>
                <w:szCs w:val="22"/>
                <w:lang w:val="zh-CN"/>
              </w:rPr>
            </w:pPr>
          </w:p>
          <w:p>
            <w:pPr>
              <w:widowControl/>
              <w:rPr>
                <w:bCs/>
                <w:sz w:val="22"/>
                <w:szCs w:val="22"/>
                <w:lang w:val="zh-CN"/>
              </w:rPr>
            </w:pPr>
          </w:p>
          <w:p>
            <w:pPr>
              <w:widowControl/>
              <w:rPr>
                <w:bCs/>
                <w:sz w:val="22"/>
                <w:szCs w:val="22"/>
                <w:lang w:val="zh-CN"/>
              </w:rPr>
            </w:pPr>
            <w:r>
              <w:rPr>
                <w:rFonts w:hint="eastAsia"/>
                <w:bCs/>
                <w:sz w:val="22"/>
                <w:szCs w:val="22"/>
                <w:lang w:val="zh-CN"/>
              </w:rPr>
              <w:t>对招标文件的响应程度审查</w:t>
            </w:r>
          </w:p>
        </w:tc>
        <w:tc>
          <w:tcPr>
            <w:tcW w:w="2027" w:type="dxa"/>
            <w:vAlign w:val="center"/>
          </w:tcPr>
          <w:p>
            <w:pPr>
              <w:widowControl/>
              <w:rPr>
                <w:bCs/>
                <w:sz w:val="22"/>
                <w:szCs w:val="22"/>
                <w:lang w:val="zh-CN"/>
              </w:rPr>
            </w:pPr>
            <w:r>
              <w:rPr>
                <w:rFonts w:hint="eastAsia"/>
                <w:bCs/>
                <w:sz w:val="22"/>
                <w:szCs w:val="22"/>
                <w:lang w:val="zh-CN"/>
              </w:rPr>
              <w:t>采购内容</w:t>
            </w:r>
          </w:p>
        </w:tc>
        <w:tc>
          <w:tcPr>
            <w:tcW w:w="5441" w:type="dxa"/>
            <w:vAlign w:val="center"/>
          </w:tcPr>
          <w:p>
            <w:pPr>
              <w:widowControl/>
              <w:rPr>
                <w:bCs/>
                <w:sz w:val="22"/>
                <w:szCs w:val="22"/>
                <w:lang w:val="zh-CN"/>
              </w:rPr>
            </w:pPr>
            <w:r>
              <w:rPr>
                <w:rFonts w:hint="eastAsia"/>
                <w:bCs/>
                <w:sz w:val="22"/>
                <w:szCs w:val="22"/>
                <w:lang w:val="zh-CN"/>
              </w:rPr>
              <w:t>符合招标文件规定的要求。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技术参数要求</w:t>
            </w:r>
          </w:p>
        </w:tc>
        <w:tc>
          <w:tcPr>
            <w:tcW w:w="5441" w:type="dxa"/>
            <w:vAlign w:val="center"/>
          </w:tcPr>
          <w:p>
            <w:pPr>
              <w:widowControl/>
              <w:rPr>
                <w:bCs/>
                <w:sz w:val="22"/>
                <w:szCs w:val="22"/>
                <w:lang w:val="zh-CN"/>
              </w:rPr>
            </w:pPr>
            <w:r>
              <w:rPr>
                <w:rFonts w:hint="eastAsia"/>
                <w:bCs/>
                <w:sz w:val="22"/>
                <w:szCs w:val="22"/>
                <w:lang w:val="zh-CN"/>
              </w:rPr>
              <w:t>满足招标文件规定的要求。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招标文件实质性响应要求</w:t>
            </w:r>
          </w:p>
        </w:tc>
        <w:tc>
          <w:tcPr>
            <w:tcW w:w="5441" w:type="dxa"/>
            <w:vAlign w:val="center"/>
          </w:tcPr>
          <w:p>
            <w:pPr>
              <w:widowControl/>
              <w:rPr>
                <w:bCs/>
                <w:sz w:val="22"/>
                <w:szCs w:val="22"/>
                <w:lang w:val="zh-CN"/>
              </w:rPr>
            </w:pPr>
            <w:r>
              <w:rPr>
                <w:rFonts w:hint="eastAsia"/>
                <w:bCs/>
                <w:sz w:val="22"/>
                <w:szCs w:val="22"/>
                <w:lang w:val="zh-CN"/>
              </w:rPr>
              <w:t>投标文件满足招标文件商务、技术等实质性要求；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707" w:type="dxa"/>
            <w:vMerge w:val="continue"/>
          </w:tcPr>
          <w:p>
            <w:pPr>
              <w:widowControl/>
              <w:rPr>
                <w:bCs/>
                <w:sz w:val="22"/>
                <w:szCs w:val="22"/>
                <w:lang w:val="zh-CN"/>
              </w:rPr>
            </w:pPr>
          </w:p>
        </w:tc>
        <w:tc>
          <w:tcPr>
            <w:tcW w:w="823" w:type="dxa"/>
            <w:vMerge w:val="continue"/>
          </w:tcPr>
          <w:p>
            <w:pPr>
              <w:widowControl/>
              <w:rPr>
                <w:bCs/>
                <w:sz w:val="22"/>
                <w:szCs w:val="22"/>
                <w:lang w:val="zh-CN"/>
              </w:rPr>
            </w:pPr>
          </w:p>
        </w:tc>
        <w:tc>
          <w:tcPr>
            <w:tcW w:w="2027" w:type="dxa"/>
            <w:vAlign w:val="center"/>
          </w:tcPr>
          <w:p>
            <w:pPr>
              <w:widowControl/>
              <w:rPr>
                <w:bCs/>
                <w:sz w:val="22"/>
                <w:szCs w:val="22"/>
                <w:lang w:val="zh-CN"/>
              </w:rPr>
            </w:pPr>
            <w:r>
              <w:rPr>
                <w:rFonts w:hint="eastAsia"/>
                <w:bCs/>
                <w:sz w:val="22"/>
                <w:szCs w:val="22"/>
                <w:lang w:val="zh-CN"/>
              </w:rPr>
              <w:t>其</w:t>
            </w:r>
            <w:r>
              <w:rPr>
                <w:rFonts w:hint="eastAsia"/>
                <w:bCs/>
                <w:sz w:val="22"/>
                <w:szCs w:val="22"/>
                <w:lang w:val="zh-CN"/>
              </w:rPr>
              <w:tab/>
            </w:r>
            <w:r>
              <w:rPr>
                <w:rFonts w:hint="eastAsia"/>
                <w:bCs/>
                <w:sz w:val="22"/>
                <w:szCs w:val="22"/>
                <w:lang w:val="zh-CN"/>
              </w:rPr>
              <w:t>他</w:t>
            </w:r>
          </w:p>
        </w:tc>
        <w:tc>
          <w:tcPr>
            <w:tcW w:w="5441" w:type="dxa"/>
            <w:vAlign w:val="center"/>
          </w:tcPr>
          <w:p>
            <w:pPr>
              <w:widowControl/>
              <w:rPr>
                <w:bCs/>
                <w:sz w:val="22"/>
                <w:szCs w:val="22"/>
                <w:lang w:val="zh-CN"/>
              </w:rPr>
            </w:pPr>
            <w:r>
              <w:rPr>
                <w:rFonts w:hint="eastAsia"/>
                <w:bCs/>
                <w:sz w:val="22"/>
                <w:szCs w:val="22"/>
                <w:lang w:val="zh-CN"/>
              </w:rPr>
              <w:t>见招标文件其它规定无效响应和废标条款的规定。</w:t>
            </w:r>
          </w:p>
        </w:tc>
      </w:tr>
    </w:tbl>
    <w:p>
      <w:pPr>
        <w:pStyle w:val="16"/>
        <w:rPr>
          <w:color w:val="FF0000"/>
        </w:rPr>
      </w:pPr>
      <w:r>
        <w:rPr>
          <w:rFonts w:hint="eastAsia" w:ascii="宋体" w:hAnsi="宋体"/>
          <w:b/>
          <w:bCs/>
          <w:color w:val="FF0000"/>
          <w:sz w:val="22"/>
          <w:szCs w:val="20"/>
        </w:rPr>
        <w:t>供应商为联合体投标时，联合体成员均须提供以上要求证明材料，</w:t>
      </w:r>
      <w:r>
        <w:rPr>
          <w:rFonts w:ascii="宋体" w:hAnsi="宋体"/>
          <w:b/>
          <w:bCs/>
          <w:color w:val="FF0000"/>
          <w:sz w:val="22"/>
          <w:szCs w:val="20"/>
        </w:rPr>
        <w:t>联合体各方应签订联合体投标协议书，明确联合体牵头人和各方权利义务，并将该联合体协议书随同投标文件一并递交。</w:t>
      </w:r>
    </w:p>
    <w:p>
      <w:pPr>
        <w:pStyle w:val="16"/>
      </w:pPr>
    </w:p>
    <w:p>
      <w:pPr>
        <w:adjustRightInd w:val="0"/>
        <w:snapToGrid w:val="0"/>
        <w:spacing w:line="440" w:lineRule="exact"/>
        <w:jc w:val="center"/>
        <w:outlineLvl w:val="0"/>
        <w:rPr>
          <w:b/>
          <w:sz w:val="36"/>
          <w:szCs w:val="36"/>
        </w:rPr>
      </w:pPr>
      <w:r>
        <w:rPr>
          <w:rFonts w:hint="eastAsia"/>
          <w:lang w:val="zh-CN"/>
        </w:rPr>
        <w:tab/>
      </w:r>
      <w:r>
        <w:rPr>
          <w:rFonts w:hint="eastAsia"/>
          <w:b/>
          <w:sz w:val="36"/>
          <w:szCs w:val="36"/>
        </w:rPr>
        <w:t>1.3</w:t>
      </w:r>
      <w:r>
        <w:rPr>
          <w:b/>
          <w:sz w:val="36"/>
          <w:szCs w:val="36"/>
        </w:rPr>
        <w:t>评审办法及评分标准</w:t>
      </w:r>
    </w:p>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1195"/>
        <w:gridCol w:w="787"/>
        <w:gridCol w:w="6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596" w:type="pct"/>
            <w:vAlign w:val="center"/>
          </w:tcPr>
          <w:p>
            <w:pPr>
              <w:widowControl/>
              <w:jc w:val="center"/>
              <w:rPr>
                <w:rFonts w:eastAsiaTheme="minorEastAsia"/>
                <w:bCs/>
                <w:kern w:val="0"/>
                <w:sz w:val="22"/>
              </w:rPr>
            </w:pPr>
            <w:bookmarkStart w:id="17" w:name="_Toc24064"/>
            <w:r>
              <w:rPr>
                <w:rFonts w:hint="eastAsia" w:eastAsiaTheme="minorEastAsia"/>
                <w:bCs/>
                <w:kern w:val="0"/>
                <w:sz w:val="22"/>
              </w:rPr>
              <w:t>评标项目</w:t>
            </w:r>
          </w:p>
        </w:tc>
        <w:tc>
          <w:tcPr>
            <w:tcW w:w="632" w:type="pct"/>
            <w:vAlign w:val="center"/>
          </w:tcPr>
          <w:p>
            <w:pPr>
              <w:widowControl/>
              <w:jc w:val="center"/>
              <w:rPr>
                <w:rFonts w:eastAsiaTheme="minorEastAsia"/>
                <w:bCs/>
                <w:kern w:val="0"/>
                <w:sz w:val="22"/>
              </w:rPr>
            </w:pPr>
            <w:r>
              <w:rPr>
                <w:rFonts w:hint="eastAsia" w:eastAsiaTheme="minorEastAsia"/>
                <w:bCs/>
                <w:kern w:val="0"/>
                <w:sz w:val="22"/>
              </w:rPr>
              <w:t>评标分项</w:t>
            </w:r>
          </w:p>
        </w:tc>
        <w:tc>
          <w:tcPr>
            <w:tcW w:w="416" w:type="pct"/>
            <w:vAlign w:val="center"/>
          </w:tcPr>
          <w:p>
            <w:pPr>
              <w:widowControl/>
              <w:jc w:val="center"/>
              <w:rPr>
                <w:rFonts w:eastAsiaTheme="minorEastAsia"/>
                <w:bCs/>
                <w:kern w:val="0"/>
                <w:sz w:val="22"/>
              </w:rPr>
            </w:pPr>
            <w:r>
              <w:rPr>
                <w:rFonts w:hint="eastAsia" w:eastAsiaTheme="minorEastAsia"/>
                <w:bCs/>
                <w:kern w:val="0"/>
                <w:sz w:val="22"/>
              </w:rPr>
              <w:t>分值</w:t>
            </w:r>
          </w:p>
        </w:tc>
        <w:tc>
          <w:tcPr>
            <w:tcW w:w="3356" w:type="pct"/>
            <w:vAlign w:val="center"/>
          </w:tcPr>
          <w:p>
            <w:pPr>
              <w:widowControl/>
              <w:jc w:val="center"/>
              <w:rPr>
                <w:rFonts w:eastAsiaTheme="minorEastAsia"/>
                <w:bCs/>
                <w:kern w:val="0"/>
                <w:sz w:val="22"/>
              </w:rPr>
            </w:pPr>
            <w:r>
              <w:rPr>
                <w:rFonts w:hint="eastAsia" w:eastAsiaTheme="minorEastAsia"/>
                <w:bCs/>
                <w:kern w:val="0"/>
                <w:sz w:val="22"/>
              </w:rPr>
              <w:t>评标打分细则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596" w:type="pct"/>
            <w:vAlign w:val="center"/>
          </w:tcPr>
          <w:p>
            <w:pPr>
              <w:widowControl/>
              <w:jc w:val="center"/>
              <w:rPr>
                <w:rFonts w:eastAsiaTheme="minorEastAsia"/>
                <w:bCs/>
                <w:kern w:val="0"/>
                <w:sz w:val="22"/>
              </w:rPr>
            </w:pPr>
            <w:r>
              <w:rPr>
                <w:rFonts w:hint="eastAsia" w:eastAsiaTheme="minorEastAsia"/>
                <w:bCs/>
                <w:kern w:val="0"/>
                <w:sz w:val="22"/>
              </w:rPr>
              <w:t>价格部分（10分）</w:t>
            </w:r>
          </w:p>
        </w:tc>
        <w:tc>
          <w:tcPr>
            <w:tcW w:w="632" w:type="pct"/>
            <w:vAlign w:val="center"/>
          </w:tcPr>
          <w:p>
            <w:pPr>
              <w:widowControl/>
              <w:jc w:val="center"/>
              <w:rPr>
                <w:rFonts w:eastAsiaTheme="minorEastAsia"/>
                <w:bCs/>
                <w:kern w:val="0"/>
                <w:sz w:val="22"/>
              </w:rPr>
            </w:pPr>
            <w:r>
              <w:rPr>
                <w:rFonts w:hint="eastAsia" w:eastAsiaTheme="minorEastAsia"/>
                <w:bCs/>
                <w:kern w:val="0"/>
                <w:sz w:val="22"/>
              </w:rPr>
              <w:t>报价得分</w:t>
            </w:r>
          </w:p>
        </w:tc>
        <w:tc>
          <w:tcPr>
            <w:tcW w:w="416" w:type="pct"/>
            <w:vAlign w:val="center"/>
          </w:tcPr>
          <w:p>
            <w:pPr>
              <w:jc w:val="left"/>
              <w:rPr>
                <w:rFonts w:eastAsiaTheme="minorEastAsia"/>
                <w:bCs/>
                <w:kern w:val="0"/>
                <w:sz w:val="22"/>
              </w:rPr>
            </w:pPr>
            <w:r>
              <w:rPr>
                <w:rFonts w:eastAsiaTheme="minorEastAsia"/>
                <w:bCs/>
                <w:kern w:val="0"/>
                <w:sz w:val="22"/>
              </w:rPr>
              <w:t>1</w:t>
            </w:r>
            <w:r>
              <w:rPr>
                <w:rFonts w:hint="eastAsia" w:eastAsiaTheme="minorEastAsia"/>
                <w:bCs/>
                <w:kern w:val="0"/>
                <w:sz w:val="22"/>
              </w:rPr>
              <w:t>0分</w:t>
            </w:r>
          </w:p>
        </w:tc>
        <w:tc>
          <w:tcPr>
            <w:tcW w:w="3356" w:type="pct"/>
            <w:vAlign w:val="center"/>
          </w:tcPr>
          <w:p>
            <w:pPr>
              <w:jc w:val="left"/>
              <w:rPr>
                <w:rFonts w:hint="eastAsia" w:eastAsiaTheme="minorEastAsia"/>
                <w:bCs/>
                <w:kern w:val="0"/>
                <w:sz w:val="22"/>
                <w:lang w:eastAsia="zh-CN"/>
              </w:rPr>
            </w:pPr>
            <w:r>
              <w:rPr>
                <w:rFonts w:eastAsiaTheme="minorEastAsia"/>
                <w:bCs/>
                <w:kern w:val="0"/>
                <w:sz w:val="22"/>
              </w:rPr>
              <w:t>价格分应当采用低价优先法计算，即满足</w:t>
            </w:r>
            <w:r>
              <w:rPr>
                <w:rFonts w:hint="eastAsia" w:eastAsiaTheme="minorEastAsia"/>
                <w:bCs/>
                <w:kern w:val="0"/>
                <w:sz w:val="22"/>
              </w:rPr>
              <w:t>招标</w:t>
            </w:r>
            <w:r>
              <w:rPr>
                <w:rFonts w:eastAsiaTheme="minorEastAsia"/>
                <w:bCs/>
                <w:kern w:val="0"/>
                <w:sz w:val="22"/>
              </w:rPr>
              <w:t>文件要求且最低的报价为评标基准价，其价格分为满分（10分）。其他</w:t>
            </w:r>
            <w:r>
              <w:rPr>
                <w:rFonts w:hint="eastAsia" w:eastAsiaTheme="minorEastAsia"/>
                <w:bCs/>
                <w:kern w:val="0"/>
                <w:sz w:val="22"/>
              </w:rPr>
              <w:t>投标人</w:t>
            </w:r>
            <w:r>
              <w:rPr>
                <w:rFonts w:eastAsiaTheme="minorEastAsia"/>
                <w:bCs/>
                <w:kern w:val="0"/>
                <w:sz w:val="22"/>
              </w:rPr>
              <w:t>的价格分统一按照下列公式计算：</w:t>
            </w:r>
          </w:p>
          <w:p>
            <w:pPr>
              <w:jc w:val="left"/>
              <w:rPr>
                <w:rFonts w:eastAsiaTheme="minorEastAsia"/>
                <w:bCs/>
                <w:kern w:val="0"/>
                <w:sz w:val="22"/>
              </w:rPr>
            </w:pPr>
            <w:r>
              <w:rPr>
                <w:rFonts w:eastAsiaTheme="minorEastAsia"/>
                <w:bCs/>
                <w:kern w:val="0"/>
                <w:sz w:val="22"/>
              </w:rPr>
              <w:t>报价得分=(评标基准价／报价)×10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restart"/>
            <w:vAlign w:val="center"/>
          </w:tcPr>
          <w:p>
            <w:pPr>
              <w:widowControl/>
              <w:jc w:val="center"/>
              <w:rPr>
                <w:rFonts w:eastAsiaTheme="minorEastAsia"/>
                <w:bCs/>
                <w:kern w:val="0"/>
                <w:sz w:val="22"/>
              </w:rPr>
            </w:pPr>
            <w:r>
              <w:rPr>
                <w:rFonts w:hint="eastAsia" w:eastAsiaTheme="minorEastAsia"/>
                <w:bCs/>
                <w:kern w:val="0"/>
                <w:sz w:val="22"/>
              </w:rPr>
              <w:t>商务部分（45分）</w:t>
            </w:r>
          </w:p>
        </w:tc>
        <w:tc>
          <w:tcPr>
            <w:tcW w:w="632" w:type="pct"/>
            <w:vAlign w:val="center"/>
          </w:tcPr>
          <w:p>
            <w:pPr>
              <w:widowControl/>
              <w:spacing w:before="100" w:beforeAutospacing="1" w:after="100" w:afterAutospacing="1"/>
              <w:jc w:val="center"/>
              <w:rPr>
                <w:rFonts w:eastAsiaTheme="minorEastAsia"/>
                <w:bCs/>
                <w:kern w:val="0"/>
                <w:sz w:val="22"/>
              </w:rPr>
            </w:pPr>
            <w:r>
              <w:rPr>
                <w:rFonts w:hint="eastAsia" w:eastAsiaTheme="minorEastAsia"/>
                <w:bCs/>
                <w:kern w:val="0"/>
                <w:sz w:val="22"/>
              </w:rPr>
              <w:t>类似业绩</w:t>
            </w:r>
          </w:p>
        </w:tc>
        <w:tc>
          <w:tcPr>
            <w:tcW w:w="416" w:type="pct"/>
            <w:vAlign w:val="center"/>
          </w:tcPr>
          <w:p>
            <w:pPr>
              <w:jc w:val="left"/>
              <w:rPr>
                <w:rFonts w:eastAsiaTheme="minorEastAsia"/>
                <w:bCs/>
                <w:kern w:val="0"/>
                <w:sz w:val="22"/>
              </w:rPr>
            </w:pPr>
            <w:r>
              <w:rPr>
                <w:rFonts w:hint="eastAsia" w:eastAsiaTheme="minorEastAsia"/>
                <w:bCs/>
                <w:kern w:val="0"/>
                <w:sz w:val="22"/>
              </w:rPr>
              <w:t>2</w:t>
            </w:r>
            <w:r>
              <w:rPr>
                <w:rFonts w:eastAsiaTheme="minorEastAsia"/>
                <w:bCs/>
                <w:kern w:val="0"/>
                <w:sz w:val="22"/>
              </w:rPr>
              <w:t>0</w:t>
            </w:r>
            <w:r>
              <w:rPr>
                <w:rFonts w:hint="eastAsia" w:eastAsiaTheme="minorEastAsia"/>
                <w:bCs/>
                <w:kern w:val="0"/>
                <w:sz w:val="22"/>
              </w:rPr>
              <w:t>分</w:t>
            </w:r>
          </w:p>
        </w:tc>
        <w:tc>
          <w:tcPr>
            <w:tcW w:w="3356" w:type="pct"/>
            <w:vAlign w:val="center"/>
          </w:tcPr>
          <w:p>
            <w:pPr>
              <w:jc w:val="left"/>
              <w:rPr>
                <w:rFonts w:eastAsiaTheme="minorEastAsia"/>
                <w:bCs/>
                <w:color w:val="FF0000"/>
                <w:kern w:val="0"/>
                <w:sz w:val="22"/>
              </w:rPr>
            </w:pPr>
            <w:r>
              <w:rPr>
                <w:rFonts w:eastAsiaTheme="minorEastAsia"/>
                <w:bCs/>
                <w:color w:val="FF0000"/>
                <w:kern w:val="0"/>
                <w:sz w:val="22"/>
              </w:rPr>
              <w:t>供应商</w:t>
            </w:r>
            <w:r>
              <w:rPr>
                <w:rFonts w:hint="eastAsia" w:eastAsiaTheme="minorEastAsia"/>
                <w:bCs/>
                <w:color w:val="FF0000"/>
                <w:kern w:val="0"/>
                <w:sz w:val="22"/>
              </w:rPr>
              <w:t>自2017年6月1日至今</w:t>
            </w:r>
            <w:r>
              <w:rPr>
                <w:rFonts w:eastAsiaTheme="minorEastAsia"/>
                <w:bCs/>
                <w:color w:val="FF0000"/>
                <w:kern w:val="0"/>
                <w:sz w:val="22"/>
              </w:rPr>
              <w:t>：</w:t>
            </w:r>
          </w:p>
          <w:p>
            <w:pPr>
              <w:numPr>
                <w:ilvl w:val="0"/>
                <w:numId w:val="7"/>
              </w:numPr>
              <w:jc w:val="left"/>
              <w:rPr>
                <w:rFonts w:eastAsiaTheme="minorEastAsia"/>
                <w:bCs/>
                <w:color w:val="FF0000"/>
                <w:kern w:val="0"/>
                <w:sz w:val="22"/>
              </w:rPr>
            </w:pPr>
            <w:r>
              <w:rPr>
                <w:rFonts w:eastAsiaTheme="minorEastAsia"/>
                <w:bCs/>
                <w:color w:val="FF0000"/>
                <w:kern w:val="0"/>
                <w:sz w:val="22"/>
              </w:rPr>
              <w:t>承担过</w:t>
            </w:r>
            <w:r>
              <w:rPr>
                <w:rFonts w:hint="eastAsia" w:eastAsiaTheme="minorEastAsia"/>
                <w:bCs/>
                <w:color w:val="FF0000"/>
                <w:kern w:val="0"/>
                <w:sz w:val="22"/>
              </w:rPr>
              <w:t>100万以上（含）矿山地质勘查（需含水文地质勘查内容）项目业绩的，每个得2分，</w:t>
            </w:r>
            <w:r>
              <w:rPr>
                <w:rFonts w:eastAsiaTheme="minorEastAsia"/>
                <w:bCs/>
                <w:color w:val="FF0000"/>
                <w:kern w:val="0"/>
                <w:sz w:val="22"/>
              </w:rPr>
              <w:t>最高得</w:t>
            </w:r>
            <w:r>
              <w:rPr>
                <w:rFonts w:hint="eastAsia" w:eastAsiaTheme="minorEastAsia"/>
                <w:bCs/>
                <w:color w:val="FF0000"/>
                <w:kern w:val="0"/>
                <w:sz w:val="22"/>
              </w:rPr>
              <w:t>10</w:t>
            </w:r>
            <w:r>
              <w:rPr>
                <w:rFonts w:eastAsiaTheme="minorEastAsia"/>
                <w:bCs/>
                <w:color w:val="FF0000"/>
                <w:kern w:val="0"/>
                <w:sz w:val="22"/>
              </w:rPr>
              <w:t>分</w:t>
            </w:r>
            <w:r>
              <w:rPr>
                <w:rFonts w:hint="eastAsia" w:eastAsiaTheme="minorEastAsia"/>
                <w:bCs/>
                <w:color w:val="FF0000"/>
                <w:kern w:val="0"/>
                <w:sz w:val="22"/>
              </w:rPr>
              <w:t>；</w:t>
            </w:r>
          </w:p>
          <w:p>
            <w:pPr>
              <w:jc w:val="left"/>
              <w:rPr>
                <w:rFonts w:eastAsiaTheme="minorEastAsia"/>
                <w:bCs/>
                <w:color w:val="FF0000"/>
                <w:kern w:val="0"/>
                <w:sz w:val="22"/>
              </w:rPr>
            </w:pPr>
            <w:r>
              <w:rPr>
                <w:rFonts w:hint="eastAsia" w:eastAsiaTheme="minorEastAsia"/>
                <w:bCs/>
                <w:color w:val="FF0000"/>
                <w:kern w:val="0"/>
                <w:sz w:val="22"/>
              </w:rPr>
              <w:t>（2）</w:t>
            </w:r>
            <w:r>
              <w:rPr>
                <w:rFonts w:eastAsiaTheme="minorEastAsia"/>
                <w:bCs/>
                <w:color w:val="FF0000"/>
                <w:kern w:val="0"/>
                <w:sz w:val="22"/>
              </w:rPr>
              <w:t>承担过</w:t>
            </w:r>
            <w:r>
              <w:rPr>
                <w:rFonts w:hint="eastAsia" w:eastAsiaTheme="minorEastAsia"/>
                <w:bCs/>
                <w:color w:val="FF0000"/>
                <w:kern w:val="0"/>
                <w:sz w:val="22"/>
              </w:rPr>
              <w:t>100万以上（含）地下水污染调查</w:t>
            </w:r>
            <w:r>
              <w:rPr>
                <w:rFonts w:eastAsiaTheme="minorEastAsia"/>
                <w:bCs/>
                <w:color w:val="FF0000"/>
                <w:kern w:val="0"/>
                <w:sz w:val="22"/>
              </w:rPr>
              <w:t>类业绩，</w:t>
            </w:r>
            <w:r>
              <w:rPr>
                <w:rFonts w:hint="eastAsia" w:eastAsiaTheme="minorEastAsia"/>
                <w:bCs/>
                <w:color w:val="FF0000"/>
                <w:kern w:val="0"/>
                <w:sz w:val="22"/>
              </w:rPr>
              <w:t>每个5</w:t>
            </w:r>
            <w:r>
              <w:rPr>
                <w:rFonts w:eastAsiaTheme="minorEastAsia"/>
                <w:bCs/>
                <w:color w:val="FF0000"/>
                <w:kern w:val="0"/>
                <w:sz w:val="22"/>
              </w:rPr>
              <w:t>分，最高得</w:t>
            </w:r>
            <w:r>
              <w:rPr>
                <w:rFonts w:hint="eastAsia" w:eastAsiaTheme="minorEastAsia"/>
                <w:bCs/>
                <w:color w:val="FF0000"/>
                <w:kern w:val="0"/>
                <w:sz w:val="22"/>
              </w:rPr>
              <w:t>10</w:t>
            </w:r>
            <w:r>
              <w:rPr>
                <w:rFonts w:eastAsiaTheme="minorEastAsia"/>
                <w:bCs/>
                <w:color w:val="FF0000"/>
                <w:kern w:val="0"/>
                <w:sz w:val="22"/>
              </w:rPr>
              <w:t>分；</w:t>
            </w:r>
          </w:p>
          <w:p>
            <w:pPr>
              <w:jc w:val="left"/>
              <w:rPr>
                <w:rFonts w:eastAsiaTheme="minorEastAsia"/>
                <w:bCs/>
                <w:color w:val="FF0000"/>
                <w:kern w:val="0"/>
                <w:sz w:val="22"/>
              </w:rPr>
            </w:pPr>
            <w:r>
              <w:rPr>
                <w:rFonts w:eastAsiaTheme="minorEastAsia"/>
                <w:bCs/>
                <w:color w:val="FF0000"/>
                <w:kern w:val="0"/>
                <w:sz w:val="22"/>
              </w:rPr>
              <w:t>提供合同</w:t>
            </w:r>
            <w:r>
              <w:rPr>
                <w:rFonts w:hint="eastAsia" w:eastAsiaTheme="minorEastAsia"/>
                <w:bCs/>
                <w:color w:val="FF0000"/>
                <w:kern w:val="0"/>
                <w:sz w:val="22"/>
              </w:rPr>
              <w:t>或</w:t>
            </w:r>
            <w:r>
              <w:rPr>
                <w:rFonts w:eastAsiaTheme="minorEastAsia"/>
                <w:bCs/>
                <w:color w:val="FF0000"/>
                <w:kern w:val="0"/>
                <w:sz w:val="22"/>
              </w:rPr>
              <w:t>中标通知书原件彩色扫描件</w:t>
            </w:r>
            <w:r>
              <w:rPr>
                <w:rFonts w:hint="eastAsia" w:eastAsiaTheme="minorEastAsia"/>
                <w:bCs/>
                <w:color w:val="FF0000"/>
                <w:kern w:val="0"/>
                <w:sz w:val="22"/>
              </w:rPr>
              <w:t>，时间以合同为准</w:t>
            </w:r>
            <w:r>
              <w:rPr>
                <w:rFonts w:eastAsiaTheme="minorEastAsia"/>
                <w:bCs/>
                <w:color w:val="FF0000"/>
                <w:kern w:val="0"/>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Merge w:val="restart"/>
            <w:vAlign w:val="center"/>
          </w:tcPr>
          <w:p>
            <w:pPr>
              <w:jc w:val="left"/>
              <w:rPr>
                <w:rFonts w:eastAsiaTheme="minorEastAsia"/>
                <w:bCs/>
                <w:kern w:val="0"/>
                <w:sz w:val="22"/>
              </w:rPr>
            </w:pPr>
            <w:r>
              <w:rPr>
                <w:rFonts w:eastAsiaTheme="minorEastAsia"/>
                <w:bCs/>
                <w:kern w:val="0"/>
                <w:sz w:val="22"/>
              </w:rPr>
              <w:t>项目</w:t>
            </w:r>
            <w:r>
              <w:rPr>
                <w:rFonts w:hint="eastAsia" w:eastAsiaTheme="minorEastAsia"/>
                <w:bCs/>
                <w:kern w:val="0"/>
                <w:sz w:val="22"/>
              </w:rPr>
              <w:t>团队人员配备</w:t>
            </w:r>
          </w:p>
        </w:tc>
        <w:tc>
          <w:tcPr>
            <w:tcW w:w="416" w:type="pct"/>
            <w:vAlign w:val="center"/>
          </w:tcPr>
          <w:p>
            <w:pPr>
              <w:jc w:val="left"/>
              <w:rPr>
                <w:rFonts w:eastAsiaTheme="minorEastAsia"/>
                <w:bCs/>
                <w:kern w:val="0"/>
                <w:sz w:val="22"/>
              </w:rPr>
            </w:pPr>
            <w:r>
              <w:rPr>
                <w:rFonts w:eastAsiaTheme="minorEastAsia"/>
                <w:bCs/>
                <w:kern w:val="0"/>
                <w:sz w:val="22"/>
              </w:rPr>
              <w:t>5分</w:t>
            </w:r>
          </w:p>
        </w:tc>
        <w:tc>
          <w:tcPr>
            <w:tcW w:w="3356" w:type="pct"/>
            <w:vAlign w:val="center"/>
          </w:tcPr>
          <w:p>
            <w:pPr>
              <w:pStyle w:val="120"/>
              <w:numPr>
                <w:ilvl w:val="0"/>
                <w:numId w:val="8"/>
              </w:numPr>
              <w:adjustRightInd w:val="0"/>
              <w:snapToGrid w:val="0"/>
              <w:ind w:firstLineChars="0"/>
              <w:jc w:val="left"/>
              <w:rPr>
                <w:rFonts w:eastAsiaTheme="minorEastAsia"/>
                <w:bCs/>
                <w:color w:val="FF0000"/>
                <w:kern w:val="0"/>
                <w:sz w:val="22"/>
                <w:szCs w:val="24"/>
              </w:rPr>
            </w:pPr>
            <w:r>
              <w:rPr>
                <w:rFonts w:eastAsiaTheme="minorEastAsia"/>
                <w:bCs/>
                <w:color w:val="FF0000"/>
                <w:kern w:val="0"/>
                <w:sz w:val="22"/>
                <w:szCs w:val="24"/>
              </w:rPr>
              <w:t>拟派项目负责人具有环境类</w:t>
            </w:r>
            <w:r>
              <w:rPr>
                <w:rFonts w:hint="eastAsia" w:eastAsiaTheme="minorEastAsia"/>
                <w:bCs/>
                <w:color w:val="FF0000"/>
                <w:kern w:val="0"/>
                <w:sz w:val="22"/>
                <w:szCs w:val="24"/>
              </w:rPr>
              <w:t>副高</w:t>
            </w:r>
            <w:r>
              <w:rPr>
                <w:rFonts w:eastAsiaTheme="minorEastAsia"/>
                <w:bCs/>
                <w:color w:val="FF0000"/>
                <w:kern w:val="0"/>
                <w:sz w:val="22"/>
                <w:szCs w:val="24"/>
              </w:rPr>
              <w:t>及以上职称证书得</w:t>
            </w:r>
            <w:r>
              <w:rPr>
                <w:rFonts w:hint="eastAsia" w:eastAsiaTheme="minorEastAsia"/>
                <w:bCs/>
                <w:color w:val="FF0000"/>
                <w:kern w:val="0"/>
                <w:sz w:val="22"/>
                <w:szCs w:val="24"/>
              </w:rPr>
              <w:t>2</w:t>
            </w:r>
            <w:r>
              <w:rPr>
                <w:rFonts w:eastAsiaTheme="minorEastAsia"/>
                <w:bCs/>
                <w:color w:val="FF0000"/>
                <w:kern w:val="0"/>
                <w:sz w:val="22"/>
                <w:szCs w:val="24"/>
              </w:rPr>
              <w:t>分，</w:t>
            </w:r>
            <w:r>
              <w:rPr>
                <w:rFonts w:hint="eastAsia" w:eastAsiaTheme="minorEastAsia"/>
                <w:bCs/>
                <w:color w:val="FF0000"/>
                <w:kern w:val="0"/>
                <w:sz w:val="22"/>
                <w:szCs w:val="24"/>
              </w:rPr>
              <w:t>否则不得分；</w:t>
            </w:r>
          </w:p>
          <w:p>
            <w:pPr>
              <w:pStyle w:val="120"/>
              <w:widowControl/>
              <w:numPr>
                <w:ilvl w:val="0"/>
                <w:numId w:val="8"/>
              </w:numPr>
              <w:adjustRightInd w:val="0"/>
              <w:snapToGrid w:val="0"/>
              <w:ind w:firstLineChars="0"/>
              <w:jc w:val="left"/>
              <w:rPr>
                <w:rFonts w:eastAsiaTheme="minorEastAsia"/>
                <w:bCs/>
                <w:color w:val="FF0000"/>
                <w:kern w:val="0"/>
                <w:sz w:val="22"/>
                <w:szCs w:val="24"/>
              </w:rPr>
            </w:pPr>
            <w:r>
              <w:rPr>
                <w:rFonts w:eastAsiaTheme="minorEastAsia"/>
                <w:bCs/>
                <w:color w:val="FF0000"/>
                <w:kern w:val="0"/>
                <w:sz w:val="22"/>
                <w:szCs w:val="24"/>
              </w:rPr>
              <w:t>拟派项目负责人具有注册环保或咨询工程师执业资格证，得</w:t>
            </w:r>
            <w:r>
              <w:rPr>
                <w:rFonts w:hint="eastAsia" w:eastAsiaTheme="minorEastAsia"/>
                <w:bCs/>
                <w:color w:val="FF0000"/>
                <w:kern w:val="0"/>
                <w:sz w:val="22"/>
                <w:szCs w:val="24"/>
              </w:rPr>
              <w:t>3</w:t>
            </w:r>
            <w:r>
              <w:rPr>
                <w:rFonts w:eastAsiaTheme="minorEastAsia"/>
                <w:bCs/>
                <w:color w:val="FF0000"/>
                <w:kern w:val="0"/>
                <w:sz w:val="22"/>
                <w:szCs w:val="24"/>
              </w:rPr>
              <w:t>分；</w:t>
            </w:r>
          </w:p>
          <w:p>
            <w:pPr>
              <w:adjustRightInd w:val="0"/>
              <w:snapToGrid w:val="0"/>
              <w:jc w:val="left"/>
              <w:rPr>
                <w:rFonts w:eastAsiaTheme="minorEastAsia"/>
                <w:bCs/>
                <w:color w:val="FF0000"/>
                <w:kern w:val="0"/>
                <w:sz w:val="22"/>
              </w:rPr>
            </w:pPr>
            <w:r>
              <w:rPr>
                <w:rFonts w:eastAsiaTheme="minorEastAsia"/>
                <w:bCs/>
                <w:color w:val="FF0000"/>
                <w:kern w:val="0"/>
                <w:sz w:val="22"/>
              </w:rPr>
              <w:t>注：须提供职称证书、注册证书、聘用合同、社保证明，否则不得分；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Merge w:val="continue"/>
            <w:vAlign w:val="center"/>
          </w:tcPr>
          <w:p>
            <w:pPr>
              <w:jc w:val="left"/>
              <w:rPr>
                <w:rFonts w:eastAsiaTheme="minorEastAsia"/>
                <w:bCs/>
                <w:kern w:val="0"/>
                <w:sz w:val="22"/>
              </w:rPr>
            </w:pPr>
          </w:p>
        </w:tc>
        <w:tc>
          <w:tcPr>
            <w:tcW w:w="416" w:type="pct"/>
            <w:vAlign w:val="center"/>
          </w:tcPr>
          <w:p>
            <w:pPr>
              <w:jc w:val="left"/>
              <w:rPr>
                <w:rFonts w:eastAsiaTheme="minorEastAsia"/>
                <w:bCs/>
                <w:kern w:val="0"/>
                <w:sz w:val="22"/>
              </w:rPr>
            </w:pPr>
            <w:r>
              <w:rPr>
                <w:rFonts w:hint="eastAsia" w:eastAsiaTheme="minorEastAsia"/>
                <w:bCs/>
                <w:kern w:val="0"/>
                <w:sz w:val="22"/>
              </w:rPr>
              <w:t>10分</w:t>
            </w:r>
          </w:p>
        </w:tc>
        <w:tc>
          <w:tcPr>
            <w:tcW w:w="3356" w:type="pct"/>
            <w:vAlign w:val="center"/>
          </w:tcPr>
          <w:p>
            <w:pPr>
              <w:jc w:val="left"/>
              <w:rPr>
                <w:rFonts w:eastAsiaTheme="minorEastAsia"/>
                <w:bCs/>
                <w:color w:val="FF0000"/>
                <w:kern w:val="0"/>
                <w:sz w:val="22"/>
              </w:rPr>
            </w:pPr>
            <w:r>
              <w:rPr>
                <w:rFonts w:hint="eastAsia" w:eastAsiaTheme="minorEastAsia"/>
                <w:bCs/>
                <w:color w:val="FF0000"/>
                <w:kern w:val="0"/>
                <w:sz w:val="22"/>
              </w:rPr>
              <w:t>项目团队其他成员：</w:t>
            </w:r>
          </w:p>
          <w:p>
            <w:pPr>
              <w:jc w:val="left"/>
              <w:rPr>
                <w:rFonts w:eastAsiaTheme="minorEastAsia"/>
                <w:bCs/>
                <w:color w:val="FF0000"/>
                <w:kern w:val="0"/>
                <w:sz w:val="22"/>
              </w:rPr>
            </w:pPr>
            <w:r>
              <w:rPr>
                <w:rFonts w:hint="eastAsia" w:eastAsiaTheme="minorEastAsia"/>
                <w:bCs/>
                <w:color w:val="FF0000"/>
                <w:kern w:val="0"/>
                <w:sz w:val="22"/>
              </w:rPr>
              <w:t>1、拟派本项目的其他人员（项目负责人除外）具有注册咨询工程师或注册环保工程师的每个得2分，最高得4分；</w:t>
            </w:r>
          </w:p>
          <w:p>
            <w:pPr>
              <w:jc w:val="left"/>
              <w:rPr>
                <w:rFonts w:eastAsiaTheme="minorEastAsia"/>
                <w:bCs/>
                <w:color w:val="FF0000"/>
                <w:kern w:val="0"/>
                <w:sz w:val="22"/>
              </w:rPr>
            </w:pPr>
            <w:r>
              <w:rPr>
                <w:rFonts w:hint="eastAsia" w:eastAsiaTheme="minorEastAsia"/>
                <w:bCs/>
                <w:color w:val="FF0000"/>
                <w:kern w:val="0"/>
                <w:sz w:val="22"/>
              </w:rPr>
              <w:t>2、拟派本项目的其他人员（项目负责人除外）需具有环境类、水工环地质类专业，副高及以上职称的每个得2分，中级每个1分，最多得6分。</w:t>
            </w:r>
          </w:p>
          <w:p>
            <w:pPr>
              <w:jc w:val="left"/>
              <w:rPr>
                <w:rFonts w:eastAsiaTheme="minorEastAsia"/>
                <w:bCs/>
                <w:color w:val="FF0000"/>
                <w:kern w:val="0"/>
                <w:sz w:val="22"/>
              </w:rPr>
            </w:pPr>
            <w:r>
              <w:rPr>
                <w:rFonts w:hint="eastAsia" w:eastAsiaTheme="minorEastAsia"/>
                <w:bCs/>
                <w:color w:val="FF0000"/>
                <w:kern w:val="0"/>
                <w:sz w:val="22"/>
              </w:rPr>
              <w:t>注：须提供职称证书、</w:t>
            </w:r>
            <w:r>
              <w:rPr>
                <w:rFonts w:eastAsiaTheme="minorEastAsia"/>
                <w:bCs/>
                <w:color w:val="FF0000"/>
                <w:kern w:val="0"/>
                <w:sz w:val="22"/>
              </w:rPr>
              <w:t>注册证书、聘用合同、社保证明</w:t>
            </w:r>
            <w:r>
              <w:rPr>
                <w:rFonts w:hint="eastAsia" w:eastAsiaTheme="minorEastAsia"/>
                <w:bCs/>
                <w:color w:val="FF0000"/>
                <w:kern w:val="0"/>
                <w:sz w:val="22"/>
              </w:rPr>
              <w:t>，否则不得分；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Align w:val="center"/>
          </w:tcPr>
          <w:p>
            <w:pPr>
              <w:jc w:val="left"/>
              <w:rPr>
                <w:rFonts w:eastAsiaTheme="minorEastAsia"/>
                <w:bCs/>
                <w:kern w:val="0"/>
                <w:sz w:val="22"/>
              </w:rPr>
            </w:pPr>
            <w:r>
              <w:rPr>
                <w:rFonts w:hint="eastAsia" w:eastAsiaTheme="minorEastAsia"/>
                <w:bCs/>
                <w:kern w:val="0"/>
                <w:sz w:val="22"/>
              </w:rPr>
              <w:t>综合实力</w:t>
            </w:r>
          </w:p>
        </w:tc>
        <w:tc>
          <w:tcPr>
            <w:tcW w:w="416" w:type="pct"/>
            <w:vAlign w:val="center"/>
          </w:tcPr>
          <w:p>
            <w:pPr>
              <w:jc w:val="left"/>
              <w:rPr>
                <w:rFonts w:eastAsiaTheme="minorEastAsia"/>
                <w:bCs/>
                <w:kern w:val="0"/>
                <w:sz w:val="22"/>
              </w:rPr>
            </w:pPr>
            <w:r>
              <w:rPr>
                <w:rFonts w:hint="eastAsia" w:eastAsiaTheme="minorEastAsia"/>
                <w:bCs/>
                <w:kern w:val="0"/>
                <w:sz w:val="22"/>
              </w:rPr>
              <w:t>10分</w:t>
            </w:r>
          </w:p>
        </w:tc>
        <w:tc>
          <w:tcPr>
            <w:tcW w:w="3356" w:type="pct"/>
            <w:vAlign w:val="center"/>
          </w:tcPr>
          <w:p>
            <w:pPr>
              <w:jc w:val="left"/>
              <w:rPr>
                <w:rFonts w:eastAsiaTheme="minorEastAsia"/>
                <w:bCs/>
                <w:color w:val="FF0000"/>
                <w:kern w:val="0"/>
                <w:sz w:val="22"/>
              </w:rPr>
            </w:pPr>
            <w:r>
              <w:rPr>
                <w:rFonts w:hint="eastAsia" w:eastAsiaTheme="minorEastAsia"/>
                <w:bCs/>
                <w:color w:val="FF0000"/>
                <w:kern w:val="0"/>
                <w:sz w:val="22"/>
              </w:rPr>
              <w:t>1、具有</w:t>
            </w:r>
            <w:r>
              <w:rPr>
                <w:rFonts w:eastAsiaTheme="minorEastAsia"/>
                <w:bCs/>
                <w:color w:val="FF0000"/>
                <w:kern w:val="0"/>
                <w:sz w:val="22"/>
              </w:rPr>
              <w:t>国家行政主管部门或国家级行业协会颁发的</w:t>
            </w:r>
            <w:r>
              <w:rPr>
                <w:rFonts w:hint="eastAsia" w:eastAsiaTheme="minorEastAsia"/>
                <w:bCs/>
                <w:color w:val="FF0000"/>
                <w:kern w:val="0"/>
                <w:sz w:val="22"/>
              </w:rPr>
              <w:t>荣誉、</w:t>
            </w:r>
            <w:r>
              <w:rPr>
                <w:rFonts w:eastAsiaTheme="minorEastAsia"/>
                <w:bCs/>
                <w:color w:val="FF0000"/>
                <w:kern w:val="0"/>
                <w:sz w:val="22"/>
              </w:rPr>
              <w:t>奖项的</w:t>
            </w:r>
            <w:r>
              <w:rPr>
                <w:rFonts w:hint="eastAsia" w:eastAsiaTheme="minorEastAsia"/>
                <w:bCs/>
                <w:color w:val="FF0000"/>
                <w:kern w:val="0"/>
                <w:sz w:val="22"/>
              </w:rPr>
              <w:t>每个2</w:t>
            </w:r>
            <w:r>
              <w:rPr>
                <w:rFonts w:eastAsiaTheme="minorEastAsia"/>
                <w:bCs/>
                <w:color w:val="FF0000"/>
                <w:kern w:val="0"/>
                <w:sz w:val="22"/>
              </w:rPr>
              <w:t>分，省级</w:t>
            </w:r>
            <w:r>
              <w:rPr>
                <w:rFonts w:hint="eastAsia" w:eastAsiaTheme="minorEastAsia"/>
                <w:bCs/>
                <w:color w:val="FF0000"/>
                <w:kern w:val="0"/>
                <w:sz w:val="22"/>
              </w:rPr>
              <w:t>每个</w:t>
            </w:r>
            <w:r>
              <w:rPr>
                <w:rFonts w:eastAsiaTheme="minorEastAsia"/>
                <w:bCs/>
                <w:color w:val="FF0000"/>
                <w:kern w:val="0"/>
                <w:sz w:val="22"/>
              </w:rPr>
              <w:t>1分</w:t>
            </w:r>
            <w:r>
              <w:rPr>
                <w:rFonts w:hint="eastAsia" w:eastAsiaTheme="minorEastAsia"/>
                <w:bCs/>
                <w:color w:val="FF0000"/>
                <w:kern w:val="0"/>
                <w:sz w:val="22"/>
              </w:rPr>
              <w:t>，此项最高得4分</w:t>
            </w:r>
            <w:r>
              <w:rPr>
                <w:rFonts w:eastAsiaTheme="minorEastAsia"/>
                <w:bCs/>
                <w:color w:val="FF0000"/>
                <w:kern w:val="0"/>
                <w:sz w:val="22"/>
              </w:rPr>
              <w:t>。</w:t>
            </w:r>
          </w:p>
          <w:p>
            <w:pPr>
              <w:jc w:val="left"/>
              <w:rPr>
                <w:rFonts w:eastAsiaTheme="minorEastAsia"/>
                <w:bCs/>
                <w:color w:val="FF0000"/>
                <w:kern w:val="0"/>
                <w:sz w:val="22"/>
              </w:rPr>
            </w:pPr>
            <w:r>
              <w:rPr>
                <w:rFonts w:hint="eastAsia" w:eastAsiaTheme="minorEastAsia"/>
                <w:bCs/>
                <w:color w:val="FF0000"/>
                <w:kern w:val="0"/>
                <w:sz w:val="22"/>
              </w:rPr>
              <w:t>2、</w:t>
            </w:r>
            <w:r>
              <w:rPr>
                <w:rFonts w:eastAsiaTheme="minorEastAsia"/>
                <w:bCs/>
                <w:color w:val="FF0000"/>
                <w:kern w:val="0"/>
                <w:sz w:val="22"/>
              </w:rPr>
              <w:t>获得ISO 9001（GB/T 19001）质量管理体系认证、ISO 14001(GB/T 24001)环境管理体系认证、ISO 45001(GB/T 45001)职业健康安全管理体系认证且均在有效期内，</w:t>
            </w:r>
            <w:r>
              <w:rPr>
                <w:rFonts w:hint="eastAsia" w:eastAsiaTheme="minorEastAsia"/>
                <w:bCs/>
                <w:color w:val="FF0000"/>
                <w:kern w:val="0"/>
                <w:sz w:val="22"/>
              </w:rPr>
              <w:t>且</w:t>
            </w:r>
            <w:r>
              <w:rPr>
                <w:rFonts w:eastAsiaTheme="minorEastAsia"/>
                <w:bCs/>
                <w:color w:val="FF0000"/>
                <w:kern w:val="0"/>
                <w:sz w:val="22"/>
              </w:rPr>
              <w:t>认证范围覆盖环境工程设计</w:t>
            </w:r>
            <w:r>
              <w:rPr>
                <w:rFonts w:hint="eastAsia" w:eastAsiaTheme="minorEastAsia"/>
                <w:bCs/>
                <w:color w:val="FF0000"/>
                <w:kern w:val="0"/>
                <w:sz w:val="22"/>
              </w:rPr>
              <w:t>和环境咨询服务</w:t>
            </w:r>
            <w:r>
              <w:rPr>
                <w:rFonts w:eastAsiaTheme="minorEastAsia"/>
                <w:bCs/>
                <w:color w:val="FF0000"/>
                <w:kern w:val="0"/>
                <w:sz w:val="22"/>
              </w:rPr>
              <w:t>的得</w:t>
            </w:r>
            <w:r>
              <w:rPr>
                <w:rFonts w:hint="eastAsia" w:eastAsiaTheme="minorEastAsia"/>
                <w:bCs/>
                <w:color w:val="FF0000"/>
                <w:kern w:val="0"/>
                <w:sz w:val="22"/>
              </w:rPr>
              <w:t>4</w:t>
            </w:r>
            <w:r>
              <w:rPr>
                <w:rFonts w:eastAsiaTheme="minorEastAsia"/>
                <w:bCs/>
                <w:color w:val="FF0000"/>
                <w:kern w:val="0"/>
                <w:sz w:val="22"/>
              </w:rPr>
              <w:t>分，不符合的不得分。</w:t>
            </w:r>
          </w:p>
          <w:p>
            <w:pPr>
              <w:jc w:val="left"/>
              <w:rPr>
                <w:rFonts w:eastAsiaTheme="minorEastAsia"/>
                <w:bCs/>
                <w:color w:val="FF0000"/>
                <w:kern w:val="0"/>
                <w:sz w:val="22"/>
              </w:rPr>
            </w:pPr>
            <w:r>
              <w:rPr>
                <w:rFonts w:hint="eastAsia" w:eastAsiaTheme="minorEastAsia"/>
                <w:bCs/>
                <w:color w:val="FF0000"/>
                <w:kern w:val="0"/>
                <w:sz w:val="22"/>
              </w:rPr>
              <w:t>3、具有水污染防治方向专利证明的每个得1分，此项最高得2分，不提供不得分。</w:t>
            </w:r>
          </w:p>
          <w:p>
            <w:pPr>
              <w:jc w:val="left"/>
              <w:rPr>
                <w:rFonts w:eastAsiaTheme="minorEastAsia"/>
                <w:bCs/>
                <w:color w:val="FF0000"/>
                <w:kern w:val="0"/>
                <w:sz w:val="22"/>
              </w:rPr>
            </w:pPr>
            <w:r>
              <w:rPr>
                <w:rFonts w:hint="eastAsia" w:eastAsiaTheme="minorEastAsia"/>
                <w:bCs/>
                <w:color w:val="FF0000"/>
                <w:kern w:val="0"/>
                <w:sz w:val="22"/>
              </w:rPr>
              <w:t>此项最高10分。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restart"/>
            <w:vAlign w:val="center"/>
          </w:tcPr>
          <w:p>
            <w:pPr>
              <w:jc w:val="center"/>
              <w:rPr>
                <w:rFonts w:eastAsiaTheme="minorEastAsia"/>
                <w:bCs/>
                <w:kern w:val="0"/>
                <w:sz w:val="22"/>
              </w:rPr>
            </w:pPr>
            <w:r>
              <w:rPr>
                <w:rFonts w:hint="eastAsia" w:eastAsiaTheme="minorEastAsia"/>
                <w:bCs/>
                <w:kern w:val="0"/>
                <w:sz w:val="22"/>
              </w:rPr>
              <w:t>技术部分（45分）</w:t>
            </w:r>
          </w:p>
        </w:tc>
        <w:tc>
          <w:tcPr>
            <w:tcW w:w="632" w:type="pct"/>
            <w:vAlign w:val="center"/>
          </w:tcPr>
          <w:p>
            <w:pPr>
              <w:jc w:val="left"/>
              <w:rPr>
                <w:rFonts w:eastAsiaTheme="minorEastAsia"/>
                <w:bCs/>
                <w:kern w:val="0"/>
                <w:sz w:val="22"/>
              </w:rPr>
            </w:pPr>
            <w:r>
              <w:rPr>
                <w:rFonts w:eastAsiaTheme="minorEastAsia"/>
                <w:bCs/>
                <w:kern w:val="0"/>
                <w:sz w:val="22"/>
              </w:rPr>
              <w:t>对项目的熟悉程度</w:t>
            </w:r>
          </w:p>
        </w:tc>
        <w:tc>
          <w:tcPr>
            <w:tcW w:w="416" w:type="pct"/>
            <w:vAlign w:val="center"/>
          </w:tcPr>
          <w:p>
            <w:pPr>
              <w:jc w:val="left"/>
              <w:rPr>
                <w:rFonts w:eastAsiaTheme="minorEastAsia"/>
                <w:bCs/>
                <w:kern w:val="0"/>
                <w:sz w:val="22"/>
              </w:rPr>
            </w:pPr>
            <w:r>
              <w:rPr>
                <w:rFonts w:eastAsiaTheme="minorEastAsia"/>
                <w:bCs/>
                <w:kern w:val="0"/>
                <w:sz w:val="22"/>
              </w:rPr>
              <w:t>5分</w:t>
            </w:r>
          </w:p>
        </w:tc>
        <w:tc>
          <w:tcPr>
            <w:tcW w:w="3356" w:type="pct"/>
            <w:vAlign w:val="center"/>
          </w:tcPr>
          <w:p>
            <w:pPr>
              <w:jc w:val="left"/>
              <w:rPr>
                <w:rFonts w:eastAsiaTheme="minorEastAsia"/>
                <w:bCs/>
                <w:kern w:val="0"/>
                <w:sz w:val="22"/>
              </w:rPr>
            </w:pPr>
            <w:r>
              <w:rPr>
                <w:rFonts w:eastAsiaTheme="minorEastAsia"/>
                <w:bCs/>
                <w:kern w:val="0"/>
                <w:sz w:val="22"/>
              </w:rPr>
              <w:t>投标人对项目前期调研充分，自行开展前期野外实地调查，并形成现场踏勘报告及附图附件。</w:t>
            </w:r>
          </w:p>
          <w:p>
            <w:pPr>
              <w:jc w:val="left"/>
              <w:rPr>
                <w:rFonts w:eastAsiaTheme="minorEastAsia"/>
                <w:bCs/>
                <w:kern w:val="0"/>
                <w:sz w:val="22"/>
              </w:rPr>
            </w:pPr>
            <w:r>
              <w:rPr>
                <w:rFonts w:eastAsiaTheme="minorEastAsia"/>
                <w:bCs/>
                <w:kern w:val="0"/>
                <w:sz w:val="22"/>
              </w:rPr>
              <w:t>根据实际情况得1-5分，不提供得0分。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Align w:val="center"/>
          </w:tcPr>
          <w:p>
            <w:pPr>
              <w:jc w:val="left"/>
              <w:rPr>
                <w:rFonts w:eastAsiaTheme="minorEastAsia"/>
                <w:bCs/>
                <w:kern w:val="0"/>
                <w:sz w:val="22"/>
              </w:rPr>
            </w:pPr>
            <w:r>
              <w:rPr>
                <w:rFonts w:hint="eastAsia" w:eastAsiaTheme="minorEastAsia"/>
                <w:bCs/>
                <w:kern w:val="0"/>
                <w:sz w:val="22"/>
              </w:rPr>
              <w:t>对本项目的理解及工作思路</w:t>
            </w:r>
          </w:p>
        </w:tc>
        <w:tc>
          <w:tcPr>
            <w:tcW w:w="416" w:type="pct"/>
            <w:vAlign w:val="center"/>
          </w:tcPr>
          <w:p>
            <w:pPr>
              <w:jc w:val="left"/>
              <w:rPr>
                <w:rFonts w:eastAsiaTheme="minorEastAsia"/>
                <w:bCs/>
                <w:kern w:val="0"/>
                <w:sz w:val="22"/>
              </w:rPr>
            </w:pPr>
            <w:r>
              <w:rPr>
                <w:rFonts w:hint="eastAsia" w:eastAsiaTheme="minorEastAsia"/>
                <w:bCs/>
                <w:kern w:val="0"/>
                <w:sz w:val="22"/>
              </w:rPr>
              <w:t>10分</w:t>
            </w:r>
          </w:p>
        </w:tc>
        <w:tc>
          <w:tcPr>
            <w:tcW w:w="3356" w:type="pct"/>
            <w:vAlign w:val="center"/>
          </w:tcPr>
          <w:p>
            <w:pPr>
              <w:jc w:val="left"/>
              <w:rPr>
                <w:rFonts w:eastAsiaTheme="minorEastAsia"/>
                <w:bCs/>
                <w:kern w:val="0"/>
                <w:sz w:val="22"/>
              </w:rPr>
            </w:pPr>
            <w:r>
              <w:rPr>
                <w:rFonts w:hint="eastAsia" w:eastAsiaTheme="minorEastAsia"/>
                <w:bCs/>
                <w:kern w:val="0"/>
                <w:sz w:val="22"/>
              </w:rPr>
              <w:t>对项目背景、区位及上位规划解读透彻，现状情况、问题分析准确，对项目理解、功能定位重难点把握到位得8-10分，对项目理解及把握问题分析，符合项目实际情况，技术标准、工作思路清晰得5-7分，有项目分析理解内容及设计构思，但未切实结合项目实际情况得1-4分，</w:t>
            </w:r>
            <w:r>
              <w:rPr>
                <w:rFonts w:eastAsiaTheme="minorEastAsia"/>
                <w:bCs/>
                <w:kern w:val="0"/>
                <w:sz w:val="22"/>
              </w:rPr>
              <w:t>不可行得0分。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Align w:val="center"/>
          </w:tcPr>
          <w:p>
            <w:pPr>
              <w:widowControl/>
              <w:jc w:val="center"/>
              <w:rPr>
                <w:rFonts w:eastAsiaTheme="minorEastAsia"/>
                <w:bCs/>
                <w:color w:val="FF0000"/>
                <w:kern w:val="0"/>
                <w:sz w:val="22"/>
              </w:rPr>
            </w:pPr>
            <w:r>
              <w:rPr>
                <w:rFonts w:eastAsiaTheme="minorEastAsia"/>
                <w:bCs/>
                <w:color w:val="FF0000"/>
                <w:kern w:val="0"/>
                <w:sz w:val="22"/>
              </w:rPr>
              <w:t>水文地质调查方案</w:t>
            </w:r>
          </w:p>
        </w:tc>
        <w:tc>
          <w:tcPr>
            <w:tcW w:w="416" w:type="pct"/>
            <w:vAlign w:val="center"/>
          </w:tcPr>
          <w:p>
            <w:pPr>
              <w:widowControl/>
              <w:jc w:val="center"/>
              <w:rPr>
                <w:rFonts w:eastAsiaTheme="minorEastAsia"/>
                <w:bCs/>
                <w:color w:val="FF0000"/>
                <w:kern w:val="0"/>
                <w:sz w:val="22"/>
              </w:rPr>
            </w:pPr>
            <w:r>
              <w:rPr>
                <w:rFonts w:hint="eastAsia" w:eastAsiaTheme="minorEastAsia"/>
                <w:bCs/>
                <w:color w:val="FF0000"/>
                <w:kern w:val="0"/>
                <w:sz w:val="22"/>
              </w:rPr>
              <w:t>10分</w:t>
            </w:r>
          </w:p>
        </w:tc>
        <w:tc>
          <w:tcPr>
            <w:tcW w:w="3356" w:type="pct"/>
            <w:vAlign w:val="center"/>
          </w:tcPr>
          <w:p>
            <w:pPr>
              <w:jc w:val="left"/>
              <w:rPr>
                <w:rFonts w:eastAsiaTheme="minorEastAsia"/>
                <w:bCs/>
                <w:color w:val="FF0000"/>
                <w:kern w:val="0"/>
                <w:sz w:val="22"/>
              </w:rPr>
            </w:pPr>
            <w:r>
              <w:rPr>
                <w:rFonts w:eastAsiaTheme="minorEastAsia"/>
                <w:bCs/>
                <w:color w:val="FF0000"/>
                <w:kern w:val="0"/>
                <w:sz w:val="22"/>
              </w:rPr>
              <w:t>根据相关技术规范，制定水文地质调查方案，包括水文地质测绘、水文地质钻探、水文地质试验、地下水监测等。</w:t>
            </w:r>
          </w:p>
          <w:p>
            <w:pPr>
              <w:jc w:val="left"/>
              <w:rPr>
                <w:rFonts w:eastAsiaTheme="minorEastAsia"/>
                <w:bCs/>
                <w:color w:val="FF0000"/>
                <w:kern w:val="0"/>
                <w:sz w:val="22"/>
              </w:rPr>
            </w:pPr>
            <w:r>
              <w:rPr>
                <w:rFonts w:hint="eastAsia" w:eastAsiaTheme="minorEastAsia"/>
                <w:bCs/>
                <w:color w:val="FF0000"/>
                <w:kern w:val="0"/>
                <w:sz w:val="22"/>
              </w:rPr>
              <w:t>方案合理、科学、完整、可操作性强，得7-10分，方案一般，尚可操作，得4-6分，方案较差，得1-3分，不提供者不得分。</w:t>
            </w:r>
            <w:r>
              <w:rPr>
                <w:rFonts w:eastAsiaTheme="minorEastAsia"/>
                <w:bCs/>
                <w:color w:val="FF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Align w:val="center"/>
          </w:tcPr>
          <w:p>
            <w:pPr>
              <w:jc w:val="left"/>
              <w:rPr>
                <w:rFonts w:eastAsiaTheme="minorEastAsia"/>
                <w:bCs/>
                <w:kern w:val="0"/>
                <w:sz w:val="22"/>
              </w:rPr>
            </w:pPr>
            <w:r>
              <w:rPr>
                <w:rFonts w:eastAsiaTheme="minorEastAsia"/>
                <w:bCs/>
                <w:kern w:val="0"/>
                <w:sz w:val="22"/>
              </w:rPr>
              <w:t>地下水环境状况调查</w:t>
            </w:r>
            <w:r>
              <w:rPr>
                <w:rFonts w:hint="eastAsia" w:eastAsiaTheme="minorEastAsia"/>
                <w:bCs/>
                <w:kern w:val="0"/>
                <w:sz w:val="22"/>
              </w:rPr>
              <w:t>评估</w:t>
            </w:r>
          </w:p>
        </w:tc>
        <w:tc>
          <w:tcPr>
            <w:tcW w:w="416" w:type="pct"/>
            <w:vAlign w:val="center"/>
          </w:tcPr>
          <w:p>
            <w:pPr>
              <w:widowControl/>
              <w:jc w:val="center"/>
              <w:rPr>
                <w:rFonts w:eastAsiaTheme="minorEastAsia"/>
                <w:bCs/>
                <w:kern w:val="0"/>
                <w:sz w:val="22"/>
              </w:rPr>
            </w:pPr>
            <w:r>
              <w:rPr>
                <w:rFonts w:hint="eastAsia" w:eastAsiaTheme="minorEastAsia"/>
                <w:bCs/>
                <w:kern w:val="0"/>
                <w:sz w:val="22"/>
              </w:rPr>
              <w:t>10分</w:t>
            </w:r>
          </w:p>
        </w:tc>
        <w:tc>
          <w:tcPr>
            <w:tcW w:w="3356" w:type="pct"/>
            <w:vAlign w:val="center"/>
          </w:tcPr>
          <w:p>
            <w:pPr>
              <w:jc w:val="left"/>
              <w:rPr>
                <w:rFonts w:eastAsiaTheme="minorEastAsia"/>
                <w:bCs/>
                <w:kern w:val="0"/>
                <w:sz w:val="22"/>
              </w:rPr>
            </w:pPr>
            <w:r>
              <w:rPr>
                <w:rFonts w:eastAsiaTheme="minorEastAsia"/>
                <w:bCs/>
                <w:kern w:val="0"/>
                <w:sz w:val="22"/>
              </w:rPr>
              <w:t>根据相关技术导则的要求，制定调查采样</w:t>
            </w:r>
            <w:r>
              <w:rPr>
                <w:rFonts w:hint="eastAsia" w:eastAsiaTheme="minorEastAsia"/>
                <w:bCs/>
                <w:kern w:val="0"/>
                <w:sz w:val="22"/>
              </w:rPr>
              <w:t>和风险评估</w:t>
            </w:r>
            <w:r>
              <w:rPr>
                <w:rFonts w:eastAsiaTheme="minorEastAsia"/>
                <w:bCs/>
                <w:kern w:val="0"/>
                <w:sz w:val="22"/>
              </w:rPr>
              <w:t>方案，包括点位布设、样品采集、保存和检测分析</w:t>
            </w:r>
            <w:r>
              <w:rPr>
                <w:rFonts w:hint="eastAsia" w:eastAsiaTheme="minorEastAsia"/>
                <w:bCs/>
                <w:kern w:val="0"/>
                <w:sz w:val="22"/>
              </w:rPr>
              <w:t>。风险评估</w:t>
            </w:r>
            <w:r>
              <w:rPr>
                <w:rFonts w:eastAsiaTheme="minorEastAsia"/>
                <w:bCs/>
                <w:kern w:val="0"/>
                <w:sz w:val="22"/>
              </w:rPr>
              <w:t>方案等，符合国家标准规范要求。</w:t>
            </w:r>
          </w:p>
          <w:p>
            <w:pPr>
              <w:jc w:val="left"/>
              <w:rPr>
                <w:rFonts w:eastAsiaTheme="minorEastAsia"/>
                <w:bCs/>
                <w:kern w:val="0"/>
                <w:sz w:val="22"/>
              </w:rPr>
            </w:pPr>
            <w:r>
              <w:rPr>
                <w:rFonts w:hint="eastAsia" w:eastAsiaTheme="minorEastAsia"/>
                <w:bCs/>
                <w:kern w:val="0"/>
                <w:sz w:val="22"/>
              </w:rPr>
              <w:t>方案合理、科学、完整、可操作性强，得7-10分，方案一般，尚可操作，得4-6分，方案较差，得1-3分，不提供者不得分。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Align w:val="center"/>
          </w:tcPr>
          <w:p>
            <w:pPr>
              <w:jc w:val="left"/>
              <w:rPr>
                <w:rFonts w:eastAsiaTheme="minorEastAsia"/>
                <w:bCs/>
                <w:kern w:val="0"/>
                <w:sz w:val="22"/>
              </w:rPr>
            </w:pPr>
            <w:r>
              <w:rPr>
                <w:rFonts w:eastAsiaTheme="minorEastAsia"/>
                <w:bCs/>
                <w:kern w:val="0"/>
                <w:sz w:val="22"/>
              </w:rPr>
              <w:t>工作进度和质量保障</w:t>
            </w:r>
          </w:p>
        </w:tc>
        <w:tc>
          <w:tcPr>
            <w:tcW w:w="416" w:type="pct"/>
            <w:vAlign w:val="center"/>
          </w:tcPr>
          <w:p>
            <w:pPr>
              <w:widowControl/>
              <w:jc w:val="center"/>
              <w:rPr>
                <w:rFonts w:eastAsiaTheme="minorEastAsia"/>
                <w:bCs/>
                <w:kern w:val="0"/>
                <w:sz w:val="22"/>
              </w:rPr>
            </w:pPr>
            <w:r>
              <w:rPr>
                <w:rFonts w:hint="eastAsia" w:eastAsiaTheme="minorEastAsia"/>
                <w:bCs/>
                <w:kern w:val="0"/>
                <w:sz w:val="22"/>
              </w:rPr>
              <w:t>5分</w:t>
            </w:r>
          </w:p>
        </w:tc>
        <w:tc>
          <w:tcPr>
            <w:tcW w:w="3356" w:type="pct"/>
            <w:vAlign w:val="center"/>
          </w:tcPr>
          <w:p>
            <w:pPr>
              <w:adjustRightInd w:val="0"/>
              <w:snapToGrid w:val="0"/>
              <w:jc w:val="left"/>
              <w:rPr>
                <w:rFonts w:eastAsiaTheme="minorEastAsia"/>
                <w:bCs/>
                <w:kern w:val="0"/>
                <w:sz w:val="22"/>
              </w:rPr>
            </w:pPr>
            <w:r>
              <w:rPr>
                <w:rFonts w:eastAsiaTheme="minorEastAsia"/>
                <w:bCs/>
                <w:kern w:val="0"/>
                <w:sz w:val="22"/>
              </w:rPr>
              <w:t>根据对项目概况及总体控制目标的理解水平，制定质量保证措施、进度计划</w:t>
            </w:r>
            <w:r>
              <w:rPr>
                <w:rFonts w:hint="eastAsia" w:eastAsiaTheme="minorEastAsia"/>
                <w:bCs/>
                <w:kern w:val="0"/>
                <w:sz w:val="22"/>
              </w:rPr>
              <w:t>。</w:t>
            </w:r>
          </w:p>
          <w:p>
            <w:pPr>
              <w:adjustRightInd w:val="0"/>
              <w:snapToGrid w:val="0"/>
              <w:jc w:val="left"/>
              <w:rPr>
                <w:rFonts w:eastAsiaTheme="minorEastAsia"/>
                <w:bCs/>
                <w:kern w:val="0"/>
                <w:sz w:val="22"/>
              </w:rPr>
            </w:pPr>
            <w:r>
              <w:rPr>
                <w:rFonts w:hint="eastAsia" w:eastAsiaTheme="minorEastAsia"/>
                <w:bCs/>
                <w:kern w:val="0"/>
                <w:sz w:val="22"/>
              </w:rPr>
              <w:t>方案合理、科学、完整、可操作性强，得4-5分，方案一般，尚可操作，得2-3分，方案较差，得1分，不提供者不得分。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Align w:val="center"/>
          </w:tcPr>
          <w:p>
            <w:pPr>
              <w:jc w:val="left"/>
              <w:rPr>
                <w:rFonts w:eastAsiaTheme="minorEastAsia"/>
                <w:bCs/>
                <w:kern w:val="0"/>
                <w:sz w:val="22"/>
              </w:rPr>
            </w:pPr>
            <w:r>
              <w:rPr>
                <w:rFonts w:eastAsiaTheme="minorEastAsia"/>
                <w:bCs/>
                <w:kern w:val="0"/>
                <w:sz w:val="22"/>
              </w:rPr>
              <w:t>二次污染防治措施</w:t>
            </w:r>
          </w:p>
        </w:tc>
        <w:tc>
          <w:tcPr>
            <w:tcW w:w="416" w:type="pct"/>
            <w:vAlign w:val="center"/>
          </w:tcPr>
          <w:p>
            <w:pPr>
              <w:widowControl/>
              <w:jc w:val="center"/>
              <w:rPr>
                <w:rFonts w:eastAsiaTheme="minorEastAsia"/>
                <w:bCs/>
                <w:kern w:val="0"/>
                <w:sz w:val="22"/>
              </w:rPr>
            </w:pPr>
            <w:r>
              <w:rPr>
                <w:rFonts w:hint="eastAsia" w:eastAsiaTheme="minorEastAsia"/>
                <w:bCs/>
                <w:kern w:val="0"/>
                <w:sz w:val="22"/>
              </w:rPr>
              <w:t>3分</w:t>
            </w:r>
          </w:p>
        </w:tc>
        <w:tc>
          <w:tcPr>
            <w:tcW w:w="3356" w:type="pct"/>
            <w:vAlign w:val="center"/>
          </w:tcPr>
          <w:p>
            <w:pPr>
              <w:adjustRightInd w:val="0"/>
              <w:snapToGrid w:val="0"/>
              <w:jc w:val="left"/>
              <w:rPr>
                <w:rFonts w:eastAsiaTheme="minorEastAsia"/>
                <w:bCs/>
                <w:kern w:val="0"/>
                <w:sz w:val="22"/>
              </w:rPr>
            </w:pPr>
            <w:r>
              <w:rPr>
                <w:rFonts w:eastAsiaTheme="minorEastAsia"/>
                <w:bCs/>
                <w:kern w:val="0"/>
                <w:sz w:val="22"/>
              </w:rPr>
              <w:t>项目二次污染防治措施方案科学、合理、符合 规范要求的得</w:t>
            </w:r>
            <w:r>
              <w:rPr>
                <w:rFonts w:hint="eastAsia" w:eastAsiaTheme="minorEastAsia"/>
                <w:bCs/>
                <w:kern w:val="0"/>
                <w:sz w:val="22"/>
              </w:rPr>
              <w:t>3</w:t>
            </w:r>
            <w:r>
              <w:rPr>
                <w:rFonts w:eastAsiaTheme="minorEastAsia"/>
                <w:bCs/>
                <w:kern w:val="0"/>
                <w:sz w:val="22"/>
              </w:rPr>
              <w:t xml:space="preserve">分，不提供不得分。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96" w:type="pct"/>
            <w:vMerge w:val="continue"/>
            <w:vAlign w:val="center"/>
          </w:tcPr>
          <w:p>
            <w:pPr>
              <w:widowControl/>
              <w:jc w:val="center"/>
              <w:rPr>
                <w:rFonts w:eastAsiaTheme="minorEastAsia"/>
                <w:bCs/>
                <w:kern w:val="0"/>
                <w:sz w:val="22"/>
              </w:rPr>
            </w:pPr>
          </w:p>
        </w:tc>
        <w:tc>
          <w:tcPr>
            <w:tcW w:w="632" w:type="pct"/>
            <w:vAlign w:val="center"/>
          </w:tcPr>
          <w:p>
            <w:pPr>
              <w:jc w:val="left"/>
              <w:rPr>
                <w:rFonts w:eastAsiaTheme="minorEastAsia"/>
                <w:bCs/>
                <w:kern w:val="0"/>
                <w:sz w:val="22"/>
              </w:rPr>
            </w:pPr>
            <w:r>
              <w:rPr>
                <w:rFonts w:eastAsiaTheme="minorEastAsia"/>
                <w:bCs/>
                <w:kern w:val="0"/>
                <w:sz w:val="22"/>
              </w:rPr>
              <w:t>服务保障措施</w:t>
            </w:r>
          </w:p>
        </w:tc>
        <w:tc>
          <w:tcPr>
            <w:tcW w:w="416" w:type="pct"/>
            <w:vAlign w:val="center"/>
          </w:tcPr>
          <w:p>
            <w:pPr>
              <w:widowControl/>
              <w:jc w:val="center"/>
              <w:rPr>
                <w:rFonts w:eastAsiaTheme="minorEastAsia"/>
                <w:bCs/>
                <w:kern w:val="0"/>
                <w:sz w:val="22"/>
              </w:rPr>
            </w:pPr>
            <w:r>
              <w:rPr>
                <w:rFonts w:hint="eastAsia" w:eastAsiaTheme="minorEastAsia"/>
                <w:bCs/>
                <w:kern w:val="0"/>
                <w:sz w:val="22"/>
              </w:rPr>
              <w:t>2分</w:t>
            </w:r>
          </w:p>
        </w:tc>
        <w:tc>
          <w:tcPr>
            <w:tcW w:w="3356" w:type="pct"/>
            <w:vAlign w:val="center"/>
          </w:tcPr>
          <w:p>
            <w:pPr>
              <w:adjustRightInd w:val="0"/>
              <w:snapToGrid w:val="0"/>
              <w:jc w:val="left"/>
              <w:rPr>
                <w:rFonts w:eastAsiaTheme="minorEastAsia"/>
                <w:bCs/>
                <w:kern w:val="0"/>
                <w:sz w:val="22"/>
              </w:rPr>
            </w:pPr>
            <w:r>
              <w:rPr>
                <w:rFonts w:eastAsiaTheme="minorEastAsia"/>
                <w:bCs/>
                <w:kern w:val="0"/>
                <w:sz w:val="22"/>
              </w:rPr>
              <w:t>1、投标人能够提供终身热线服务，得1分；</w:t>
            </w:r>
          </w:p>
          <w:p>
            <w:pPr>
              <w:adjustRightInd w:val="0"/>
              <w:snapToGrid w:val="0"/>
              <w:jc w:val="left"/>
              <w:rPr>
                <w:rFonts w:eastAsiaTheme="minorEastAsia"/>
                <w:bCs/>
                <w:kern w:val="0"/>
                <w:sz w:val="22"/>
              </w:rPr>
            </w:pPr>
            <w:r>
              <w:rPr>
                <w:rFonts w:eastAsiaTheme="minorEastAsia"/>
                <w:bCs/>
                <w:kern w:val="0"/>
                <w:sz w:val="22"/>
              </w:rPr>
              <w:t>2、投标人承诺遇重大技术问题投标人可</w:t>
            </w:r>
            <w:r>
              <w:rPr>
                <w:rFonts w:hint="eastAsia" w:eastAsiaTheme="minorEastAsia"/>
                <w:bCs/>
                <w:kern w:val="0"/>
                <w:sz w:val="22"/>
              </w:rPr>
              <w:t>3</w:t>
            </w:r>
            <w:r>
              <w:rPr>
                <w:rFonts w:eastAsiaTheme="minorEastAsia"/>
                <w:bCs/>
                <w:kern w:val="0"/>
                <w:sz w:val="22"/>
              </w:rPr>
              <w:t>小时内提供现场技术支持，得1分。（提供承诺书）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5000" w:type="pct"/>
            <w:gridSpan w:val="4"/>
            <w:vAlign w:val="center"/>
          </w:tcPr>
          <w:p>
            <w:pPr>
              <w:adjustRightInd w:val="0"/>
              <w:snapToGrid w:val="0"/>
              <w:jc w:val="left"/>
              <w:rPr>
                <w:rFonts w:eastAsiaTheme="minorEastAsia"/>
                <w:bCs/>
                <w:kern w:val="0"/>
                <w:sz w:val="22"/>
              </w:rPr>
            </w:pPr>
            <w:r>
              <w:rPr>
                <w:rFonts w:hint="eastAsia" w:ascii="宋体" w:hAnsi="宋体"/>
                <w:b/>
                <w:color w:val="FF0000"/>
                <w:spacing w:val="-2"/>
                <w:szCs w:val="21"/>
              </w:rPr>
              <w:t>如供应商为联合体投标，则联合体成员任意一方满足上述评审标准即可</w:t>
            </w:r>
          </w:p>
        </w:tc>
      </w:tr>
    </w:tbl>
    <w:p>
      <w:pPr>
        <w:ind w:firstLine="480" w:firstLineChars="200"/>
        <w:rPr>
          <w:b/>
          <w:sz w:val="32"/>
          <w:szCs w:val="32"/>
        </w:rPr>
      </w:pPr>
      <w:r>
        <w:rPr>
          <w:rFonts w:hint="eastAsia"/>
          <w:color w:val="FF0000"/>
          <w:sz w:val="24"/>
        </w:rPr>
        <w:t>备注：以上所有须提供的证件、证书、有关资料等投标人都须提供原始资料的真彩扫描打印件供专家评委评审，否则不得分。投标人投标时须认真对待、如实应标。凡提供虚假材料谋取中标的，一经查实，根据《政府采购法》第七十七条之规定，将对供应商处以罚款、列入不良行为记录名单、依法追究刑事责任等。</w:t>
      </w:r>
    </w:p>
    <w:tbl>
      <w:tblPr>
        <w:tblStyle w:val="29"/>
        <w:tblpPr w:leftFromText="180" w:rightFromText="180" w:vertAnchor="text" w:horzAnchor="page" w:tblpX="1518" w:tblpY="303"/>
        <w:tblOverlap w:val="never"/>
        <w:tblW w:w="89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8"/>
        <w:gridCol w:w="7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960" w:type="dxa"/>
            <w:gridSpan w:val="2"/>
          </w:tcPr>
          <w:p>
            <w:pPr>
              <w:pStyle w:val="125"/>
              <w:spacing w:before="65"/>
              <w:ind w:right="3350"/>
              <w:jc w:val="right"/>
              <w:rPr>
                <w:b/>
                <w:color w:val="FF0000"/>
                <w:sz w:val="21"/>
              </w:rPr>
            </w:pPr>
            <w:r>
              <w:rPr>
                <w:rFonts w:hint="eastAsia"/>
                <w:b/>
                <w:bCs/>
                <w:color w:val="FF0000"/>
                <w:kern w:val="0"/>
                <w:sz w:val="28"/>
                <w:szCs w:val="28"/>
                <w:shd w:val="clear" w:color="auto" w:fill="FFFFFF"/>
                <w:lang w:val="en-US" w:bidi="ar-SA"/>
              </w:rPr>
              <w:t xml:space="preserve">  政  策  支  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1838" w:type="dxa"/>
          </w:tcPr>
          <w:p>
            <w:pPr>
              <w:pStyle w:val="125"/>
              <w:spacing w:before="10"/>
              <w:rPr>
                <w:b/>
                <w:bCs/>
                <w:color w:val="FF0000"/>
                <w:kern w:val="0"/>
                <w:sz w:val="24"/>
                <w:szCs w:val="24"/>
                <w:shd w:val="clear" w:color="auto" w:fill="FFFFFF"/>
                <w:lang w:val="en-US" w:bidi="ar-SA"/>
              </w:rPr>
            </w:pPr>
          </w:p>
          <w:p>
            <w:pPr>
              <w:pStyle w:val="125"/>
              <w:spacing w:before="1"/>
              <w:ind w:left="673" w:right="666"/>
              <w:jc w:val="center"/>
              <w:rPr>
                <w:b/>
                <w:bCs/>
                <w:color w:val="FF0000"/>
                <w:kern w:val="0"/>
                <w:sz w:val="24"/>
                <w:szCs w:val="24"/>
                <w:shd w:val="clear" w:color="auto" w:fill="FFFFFF"/>
                <w:lang w:val="en-US" w:bidi="ar-SA"/>
              </w:rPr>
            </w:pPr>
            <w:r>
              <w:rPr>
                <w:rFonts w:hint="eastAsia"/>
                <w:b/>
                <w:bCs/>
                <w:color w:val="FF0000"/>
                <w:kern w:val="0"/>
                <w:sz w:val="24"/>
                <w:szCs w:val="24"/>
                <w:shd w:val="clear" w:color="auto" w:fill="FFFFFF"/>
                <w:lang w:val="en-US" w:bidi="ar-SA"/>
              </w:rPr>
              <w:t>中小企业</w:t>
            </w:r>
          </w:p>
        </w:tc>
        <w:tc>
          <w:tcPr>
            <w:tcW w:w="7122" w:type="dxa"/>
          </w:tcPr>
          <w:p>
            <w:pPr>
              <w:pStyle w:val="125"/>
              <w:spacing w:before="10"/>
              <w:rPr>
                <w:b/>
                <w:bCs/>
                <w:color w:val="FF0000"/>
                <w:kern w:val="0"/>
                <w:sz w:val="24"/>
                <w:szCs w:val="24"/>
                <w:shd w:val="clear" w:color="auto" w:fill="FFFFFF"/>
                <w:lang w:val="en-US" w:bidi="ar-SA"/>
              </w:rPr>
            </w:pPr>
          </w:p>
          <w:p>
            <w:pPr>
              <w:pStyle w:val="125"/>
              <w:spacing w:before="1"/>
              <w:ind w:left="107"/>
              <w:rPr>
                <w:b/>
                <w:bCs/>
                <w:color w:val="FF0000"/>
                <w:kern w:val="0"/>
                <w:sz w:val="24"/>
                <w:szCs w:val="24"/>
                <w:shd w:val="clear" w:color="auto" w:fill="FFFFFF"/>
                <w:lang w:val="en-US" w:bidi="ar-SA"/>
              </w:rPr>
            </w:pPr>
            <w:r>
              <w:rPr>
                <w:rFonts w:hint="eastAsia"/>
                <w:b/>
                <w:bCs/>
                <w:color w:val="FF0000"/>
                <w:kern w:val="0"/>
                <w:sz w:val="24"/>
                <w:szCs w:val="24"/>
                <w:shd w:val="clear" w:color="auto" w:fill="FFFFFF"/>
                <w:lang w:val="en-US" w:bidi="ar-SA"/>
              </w:rPr>
              <w:t>本项目为专门面向中小企业，不再执行价格评审优惠的扶持政策。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1838" w:type="dxa"/>
          </w:tcPr>
          <w:p>
            <w:pPr>
              <w:pStyle w:val="125"/>
              <w:rPr>
                <w:color w:val="FF0000"/>
                <w:kern w:val="0"/>
                <w:sz w:val="24"/>
                <w:szCs w:val="24"/>
                <w:shd w:val="clear" w:color="auto" w:fill="FFFFFF"/>
                <w:lang w:val="en-US" w:bidi="ar-SA"/>
              </w:rPr>
            </w:pPr>
          </w:p>
          <w:p>
            <w:pPr>
              <w:pStyle w:val="125"/>
              <w:rPr>
                <w:color w:val="FF0000"/>
                <w:kern w:val="0"/>
                <w:sz w:val="24"/>
                <w:szCs w:val="24"/>
                <w:shd w:val="clear" w:color="auto" w:fill="FFFFFF"/>
                <w:lang w:val="en-US" w:bidi="ar-SA"/>
              </w:rPr>
            </w:pPr>
          </w:p>
          <w:p>
            <w:pPr>
              <w:pStyle w:val="125"/>
              <w:rPr>
                <w:color w:val="FF0000"/>
                <w:kern w:val="0"/>
                <w:sz w:val="24"/>
                <w:szCs w:val="24"/>
                <w:shd w:val="clear" w:color="auto" w:fill="FFFFFF"/>
                <w:lang w:val="en-US" w:bidi="ar-SA"/>
              </w:rPr>
            </w:pPr>
          </w:p>
          <w:p>
            <w:pPr>
              <w:pStyle w:val="125"/>
              <w:spacing w:before="9"/>
              <w:rPr>
                <w:color w:val="FF0000"/>
                <w:kern w:val="0"/>
                <w:sz w:val="24"/>
                <w:szCs w:val="24"/>
                <w:shd w:val="clear" w:color="auto" w:fill="FFFFFF"/>
                <w:lang w:val="en-US" w:bidi="ar-SA"/>
              </w:rPr>
            </w:pPr>
          </w:p>
          <w:p>
            <w:pPr>
              <w:pStyle w:val="125"/>
              <w:ind w:left="673" w:right="666"/>
              <w:jc w:val="center"/>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监狱企业</w:t>
            </w:r>
          </w:p>
        </w:tc>
        <w:tc>
          <w:tcPr>
            <w:tcW w:w="7122" w:type="dxa"/>
          </w:tcPr>
          <w:p>
            <w:pPr>
              <w:pStyle w:val="125"/>
              <w:numPr>
                <w:ilvl w:val="0"/>
                <w:numId w:val="9"/>
              </w:numPr>
              <w:tabs>
                <w:tab w:val="left" w:pos="267"/>
              </w:tabs>
              <w:spacing w:before="21" w:line="278" w:lineRule="auto"/>
              <w:ind w:right="-15" w:firstLine="0"/>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按照财政部《关于政府采购支持监狱企业发展有关问题的通知》财库[2017]141 号） 的规定，在政府采购活动中，监狱企业视同小型、微型企业，享受预留份额、评审中价格扣除等政府采购促进中小型企业发展的政府采购政策。</w:t>
            </w:r>
          </w:p>
          <w:p>
            <w:pPr>
              <w:pStyle w:val="125"/>
              <w:numPr>
                <w:ilvl w:val="0"/>
                <w:numId w:val="9"/>
              </w:numPr>
              <w:tabs>
                <w:tab w:val="left" w:pos="267"/>
              </w:tabs>
              <w:spacing w:line="278" w:lineRule="auto"/>
              <w:ind w:right="95" w:firstLine="0"/>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监狱企业参加政府采购活动时，应当提供由省级以上监狱管理局、戒毒管理局(含新疆生产建设兵团)出具的属于监狱企业的证明文件，材料不全的不予折扣。</w:t>
            </w:r>
          </w:p>
          <w:p>
            <w:pPr>
              <w:pStyle w:val="125"/>
              <w:numPr>
                <w:ilvl w:val="0"/>
                <w:numId w:val="9"/>
              </w:numPr>
              <w:tabs>
                <w:tab w:val="left" w:pos="267"/>
              </w:tabs>
              <w:spacing w:line="269" w:lineRule="exact"/>
              <w:ind w:left="266" w:hanging="160"/>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经评委会审核确认供应商属于监狱企业的，在评定时视同中小企业。</w:t>
            </w:r>
          </w:p>
          <w:p>
            <w:pPr>
              <w:pStyle w:val="125"/>
              <w:numPr>
                <w:ilvl w:val="0"/>
                <w:numId w:val="9"/>
              </w:numPr>
              <w:tabs>
                <w:tab w:val="left" w:pos="319"/>
              </w:tabs>
              <w:spacing w:before="62" w:line="252" w:lineRule="exact"/>
              <w:ind w:left="318" w:hanging="212"/>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监狱企业属于小型、微型企业的，不重复享受政策。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838" w:type="dxa"/>
          </w:tcPr>
          <w:p>
            <w:pPr>
              <w:pStyle w:val="125"/>
              <w:rPr>
                <w:color w:val="FF0000"/>
                <w:kern w:val="0"/>
                <w:sz w:val="24"/>
                <w:szCs w:val="24"/>
                <w:shd w:val="clear" w:color="auto" w:fill="FFFFFF"/>
                <w:lang w:val="en-US" w:bidi="ar-SA"/>
              </w:rPr>
            </w:pPr>
          </w:p>
          <w:p>
            <w:pPr>
              <w:pStyle w:val="125"/>
              <w:rPr>
                <w:color w:val="FF0000"/>
                <w:kern w:val="0"/>
                <w:sz w:val="24"/>
                <w:szCs w:val="24"/>
                <w:shd w:val="clear" w:color="auto" w:fill="FFFFFF"/>
                <w:lang w:val="en-US" w:bidi="ar-SA"/>
              </w:rPr>
            </w:pPr>
          </w:p>
          <w:p>
            <w:pPr>
              <w:pStyle w:val="125"/>
              <w:rPr>
                <w:color w:val="FF0000"/>
                <w:kern w:val="0"/>
                <w:sz w:val="24"/>
                <w:szCs w:val="24"/>
                <w:shd w:val="clear" w:color="auto" w:fill="FFFFFF"/>
                <w:lang w:val="en-US" w:bidi="ar-SA"/>
              </w:rPr>
            </w:pPr>
          </w:p>
          <w:p>
            <w:pPr>
              <w:pStyle w:val="125"/>
              <w:spacing w:before="10"/>
              <w:rPr>
                <w:color w:val="FF0000"/>
                <w:kern w:val="0"/>
                <w:sz w:val="24"/>
                <w:szCs w:val="24"/>
                <w:shd w:val="clear" w:color="auto" w:fill="FFFFFF"/>
                <w:lang w:val="en-US" w:bidi="ar-SA"/>
              </w:rPr>
            </w:pPr>
          </w:p>
          <w:p>
            <w:pPr>
              <w:pStyle w:val="125"/>
              <w:spacing w:before="1"/>
              <w:ind w:left="676" w:right="666"/>
              <w:jc w:val="center"/>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促进残疾人就业</w:t>
            </w:r>
          </w:p>
        </w:tc>
        <w:tc>
          <w:tcPr>
            <w:tcW w:w="7122" w:type="dxa"/>
          </w:tcPr>
          <w:p>
            <w:pPr>
              <w:pStyle w:val="125"/>
              <w:numPr>
                <w:ilvl w:val="0"/>
                <w:numId w:val="10"/>
              </w:numPr>
              <w:tabs>
                <w:tab w:val="left" w:pos="267"/>
              </w:tabs>
              <w:spacing w:before="21" w:line="278" w:lineRule="auto"/>
              <w:ind w:right="92" w:firstLine="0"/>
              <w:jc w:val="both"/>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按照《三部门联合发布关于促进残疾人就业政府采购政策的通知》(财库(2017) 141 号)的规定，在政府采购活动中，残疾人福利性单位视同小型、微型企业，享受预留  份额、评审中价格扣除等促进中小企业发展的政府采购政策。</w:t>
            </w:r>
          </w:p>
          <w:p>
            <w:pPr>
              <w:pStyle w:val="125"/>
              <w:numPr>
                <w:ilvl w:val="0"/>
                <w:numId w:val="10"/>
              </w:numPr>
              <w:tabs>
                <w:tab w:val="left" w:pos="267"/>
              </w:tabs>
              <w:spacing w:line="278" w:lineRule="auto"/>
              <w:ind w:right="93" w:firstLine="0"/>
              <w:jc w:val="both"/>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符合条件的残疾人福利性单位在参加政府采购活动时，应当提供财库(2017)141 号文规定的《残疾人福利性单位声明函》， 并对声明的真实性负责，未提供声明函的不予折扣。</w:t>
            </w:r>
          </w:p>
          <w:p>
            <w:pPr>
              <w:pStyle w:val="125"/>
              <w:numPr>
                <w:ilvl w:val="0"/>
                <w:numId w:val="10"/>
              </w:numPr>
              <w:tabs>
                <w:tab w:val="left" w:pos="267"/>
              </w:tabs>
              <w:spacing w:line="269" w:lineRule="exact"/>
              <w:ind w:left="266" w:right="-15" w:hanging="160"/>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经评委会审核确认供应商符合残疾人福利性单位条件的，在评定时视同中小企业。</w:t>
            </w:r>
          </w:p>
          <w:p>
            <w:pPr>
              <w:pStyle w:val="125"/>
              <w:numPr>
                <w:ilvl w:val="0"/>
                <w:numId w:val="10"/>
              </w:numPr>
              <w:tabs>
                <w:tab w:val="left" w:pos="267"/>
              </w:tabs>
              <w:spacing w:before="42"/>
              <w:ind w:left="266" w:hanging="160"/>
              <w:rPr>
                <w:color w:val="FF0000"/>
                <w:kern w:val="0"/>
                <w:sz w:val="24"/>
                <w:szCs w:val="24"/>
                <w:shd w:val="clear" w:color="auto" w:fill="FFFFFF"/>
                <w:lang w:val="en-US" w:bidi="ar-SA"/>
              </w:rPr>
            </w:pPr>
            <w:r>
              <w:rPr>
                <w:rFonts w:hint="eastAsia"/>
                <w:color w:val="FF0000"/>
                <w:kern w:val="0"/>
                <w:sz w:val="24"/>
                <w:szCs w:val="24"/>
                <w:shd w:val="clear" w:color="auto" w:fill="FFFFFF"/>
                <w:lang w:val="en-US" w:bidi="ar-SA"/>
              </w:rPr>
              <w:t>残疾人福利性单位属于小型、微型企业的，不重复享受政策。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 w:hRule="atLeast"/>
        </w:trPr>
        <w:tc>
          <w:tcPr>
            <w:tcW w:w="8960" w:type="dxa"/>
            <w:gridSpan w:val="2"/>
          </w:tcPr>
          <w:p>
            <w:pPr>
              <w:pStyle w:val="125"/>
              <w:spacing w:before="42"/>
              <w:ind w:left="108"/>
              <w:rPr>
                <w:b/>
                <w:color w:val="FF0000"/>
                <w:sz w:val="21"/>
              </w:rPr>
            </w:pPr>
            <w:r>
              <w:rPr>
                <w:b/>
                <w:color w:val="FF0000"/>
                <w:sz w:val="21"/>
              </w:rPr>
              <w:t>注：本项目为专门面向中小企业，不再执行价格评审优惠的扶持政策。</w:t>
            </w:r>
          </w:p>
        </w:tc>
      </w:tr>
    </w:tbl>
    <w:p>
      <w:pPr>
        <w:pStyle w:val="45"/>
        <w:spacing w:line="240" w:lineRule="auto"/>
        <w:ind w:firstLine="0" w:firstLineChars="0"/>
        <w:rPr>
          <w:rFonts w:ascii="仿宋_GB2312" w:hAnsi="新宋体" w:eastAsia="仿宋_GB2312"/>
          <w:b/>
          <w:bCs/>
          <w:color w:val="0000FF"/>
          <w:sz w:val="22"/>
          <w:szCs w:val="22"/>
        </w:rPr>
      </w:pPr>
    </w:p>
    <w:p>
      <w:pPr>
        <w:rPr>
          <w:color w:val="000000"/>
        </w:rPr>
      </w:pPr>
      <w:r>
        <w:rPr>
          <w:rFonts w:hint="eastAsia"/>
          <w:color w:val="000000"/>
        </w:rPr>
        <w:br w:type="page"/>
      </w:r>
    </w:p>
    <w:p>
      <w:pPr>
        <w:jc w:val="center"/>
        <w:outlineLvl w:val="0"/>
        <w:rPr>
          <w:rFonts w:eastAsia="仿宋_GB2312"/>
          <w:sz w:val="44"/>
          <w:szCs w:val="44"/>
        </w:rPr>
      </w:pPr>
      <w:bookmarkStart w:id="18" w:name="_Toc25946"/>
      <w:r>
        <w:rPr>
          <w:color w:val="000000"/>
          <w:sz w:val="36"/>
          <w:szCs w:val="36"/>
        </w:rPr>
        <w:t>第</w:t>
      </w:r>
      <w:r>
        <w:rPr>
          <w:rFonts w:hint="eastAsia"/>
          <w:color w:val="000000"/>
          <w:sz w:val="36"/>
          <w:szCs w:val="36"/>
        </w:rPr>
        <w:t>五</w:t>
      </w:r>
      <w:r>
        <w:rPr>
          <w:color w:val="000000"/>
          <w:sz w:val="36"/>
          <w:szCs w:val="36"/>
        </w:rPr>
        <w:t>章</w:t>
      </w:r>
      <w:r>
        <w:rPr>
          <w:rFonts w:hint="eastAsia"/>
          <w:color w:val="000000"/>
          <w:sz w:val="36"/>
          <w:szCs w:val="36"/>
        </w:rPr>
        <w:t xml:space="preserve">  </w:t>
      </w:r>
      <w:r>
        <w:rPr>
          <w:color w:val="000000"/>
          <w:sz w:val="36"/>
          <w:szCs w:val="36"/>
        </w:rPr>
        <w:t>合同书</w:t>
      </w:r>
      <w:bookmarkEnd w:id="17"/>
      <w:bookmarkEnd w:id="18"/>
    </w:p>
    <w:p>
      <w:pPr>
        <w:spacing w:line="360" w:lineRule="auto"/>
        <w:ind w:firstLine="480" w:firstLineChars="200"/>
        <w:rPr>
          <w:sz w:val="24"/>
        </w:rPr>
      </w:pPr>
      <w:bookmarkStart w:id="19" w:name="_Toc19612"/>
    </w:p>
    <w:p>
      <w:pPr>
        <w:spacing w:line="360" w:lineRule="auto"/>
        <w:ind w:firstLine="480" w:firstLineChars="200"/>
        <w:rPr>
          <w:spacing w:val="-10"/>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60" w:lineRule="auto"/>
        <w:ind w:firstLine="540"/>
        <w:jc w:val="center"/>
        <w:rPr>
          <w:b/>
          <w:kern w:val="0"/>
          <w:sz w:val="24"/>
        </w:rPr>
      </w:pPr>
    </w:p>
    <w:p>
      <w:pPr>
        <w:spacing w:line="360" w:lineRule="auto"/>
        <w:ind w:firstLine="540"/>
        <w:jc w:val="center"/>
        <w:rPr>
          <w:b/>
          <w:kern w:val="0"/>
          <w:sz w:val="30"/>
          <w:szCs w:val="30"/>
        </w:rPr>
      </w:pPr>
      <w:r>
        <w:rPr>
          <w:b/>
          <w:kern w:val="0"/>
          <w:sz w:val="30"/>
          <w:szCs w:val="30"/>
        </w:rPr>
        <w:t>合 同 书</w:t>
      </w:r>
    </w:p>
    <w:p>
      <w:pPr>
        <w:autoSpaceDE w:val="0"/>
        <w:autoSpaceDN w:val="0"/>
        <w:adjustRightInd w:val="0"/>
        <w:spacing w:line="360" w:lineRule="auto"/>
        <w:ind w:firstLine="480" w:firstLineChars="200"/>
        <w:jc w:val="left"/>
        <w:rPr>
          <w:kern w:val="0"/>
          <w:sz w:val="24"/>
        </w:rPr>
      </w:pPr>
      <w:r>
        <w:rPr>
          <w:kern w:val="0"/>
          <w:sz w:val="24"/>
        </w:rPr>
        <w:t>项目名称：</w:t>
      </w:r>
    </w:p>
    <w:p>
      <w:pPr>
        <w:autoSpaceDE w:val="0"/>
        <w:autoSpaceDN w:val="0"/>
        <w:adjustRightInd w:val="0"/>
        <w:spacing w:line="360" w:lineRule="auto"/>
        <w:ind w:firstLine="480" w:firstLineChars="200"/>
        <w:jc w:val="left"/>
        <w:rPr>
          <w:kern w:val="0"/>
          <w:sz w:val="24"/>
        </w:rPr>
      </w:pPr>
      <w:r>
        <w:rPr>
          <w:kern w:val="0"/>
          <w:sz w:val="24"/>
        </w:rPr>
        <w:t>合同编号：</w:t>
      </w:r>
    </w:p>
    <w:p>
      <w:pPr>
        <w:autoSpaceDE w:val="0"/>
        <w:autoSpaceDN w:val="0"/>
        <w:adjustRightInd w:val="0"/>
        <w:spacing w:line="360" w:lineRule="auto"/>
        <w:ind w:firstLine="480" w:firstLineChars="200"/>
        <w:jc w:val="left"/>
        <w:rPr>
          <w:kern w:val="0"/>
          <w:sz w:val="24"/>
        </w:rPr>
      </w:pPr>
      <w:r>
        <w:rPr>
          <w:kern w:val="0"/>
          <w:sz w:val="24"/>
        </w:rPr>
        <w:t>签订日期：</w:t>
      </w:r>
    </w:p>
    <w:p>
      <w:pPr>
        <w:autoSpaceDE w:val="0"/>
        <w:autoSpaceDN w:val="0"/>
        <w:adjustRightInd w:val="0"/>
        <w:spacing w:line="360" w:lineRule="auto"/>
        <w:ind w:firstLine="480" w:firstLineChars="200"/>
        <w:jc w:val="left"/>
        <w:rPr>
          <w:kern w:val="0"/>
          <w:sz w:val="24"/>
        </w:rPr>
      </w:pPr>
      <w:r>
        <w:rPr>
          <w:kern w:val="0"/>
          <w:sz w:val="24"/>
        </w:rPr>
        <w:t>签订合同地点：</w:t>
      </w:r>
    </w:p>
    <w:p>
      <w:pPr>
        <w:autoSpaceDE w:val="0"/>
        <w:autoSpaceDN w:val="0"/>
        <w:adjustRightInd w:val="0"/>
        <w:spacing w:line="360" w:lineRule="auto"/>
        <w:ind w:firstLine="480" w:firstLineChars="200"/>
        <w:jc w:val="left"/>
        <w:rPr>
          <w:kern w:val="0"/>
          <w:sz w:val="24"/>
        </w:rPr>
      </w:pPr>
      <w:r>
        <w:rPr>
          <w:kern w:val="0"/>
          <w:sz w:val="24"/>
        </w:rPr>
        <w:t>本合同由（以下简称“需方”）与（以下简称“供方”）签订。</w:t>
      </w:r>
    </w:p>
    <w:p>
      <w:pPr>
        <w:autoSpaceDE w:val="0"/>
        <w:autoSpaceDN w:val="0"/>
        <w:adjustRightInd w:val="0"/>
        <w:spacing w:line="360" w:lineRule="auto"/>
        <w:ind w:firstLine="480" w:firstLineChars="200"/>
        <w:jc w:val="left"/>
        <w:rPr>
          <w:kern w:val="0"/>
          <w:sz w:val="24"/>
        </w:rPr>
      </w:pPr>
      <w:r>
        <w:rPr>
          <w:kern w:val="0"/>
          <w:sz w:val="24"/>
        </w:rPr>
        <w:t>供方以总金额万元人民币（用大写数字书写）向需方提供如下货物：</w:t>
      </w:r>
    </w:p>
    <w:p>
      <w:pPr>
        <w:autoSpaceDE w:val="0"/>
        <w:autoSpaceDN w:val="0"/>
        <w:adjustRightInd w:val="0"/>
        <w:spacing w:line="360" w:lineRule="auto"/>
        <w:jc w:val="left"/>
        <w:rPr>
          <w:kern w:val="0"/>
          <w:sz w:val="24"/>
        </w:rPr>
      </w:pPr>
      <w:r>
        <w:rPr>
          <w:kern w:val="0"/>
          <w:sz w:val="24"/>
        </w:rPr>
        <w:t>经双方协商，同意按下列条文执行：</w:t>
      </w:r>
    </w:p>
    <w:p>
      <w:pPr>
        <w:autoSpaceDE w:val="0"/>
        <w:autoSpaceDN w:val="0"/>
        <w:adjustRightInd w:val="0"/>
        <w:spacing w:line="360" w:lineRule="auto"/>
        <w:ind w:firstLine="480" w:firstLineChars="200"/>
        <w:jc w:val="left"/>
        <w:rPr>
          <w:kern w:val="0"/>
          <w:sz w:val="24"/>
        </w:rPr>
      </w:pPr>
      <w:r>
        <w:rPr>
          <w:kern w:val="0"/>
          <w:sz w:val="24"/>
        </w:rPr>
        <w:t>1.本合同供、需双方必须遵守国家颁布的《中华人民共和国合同法》、《中华人民共和国政府采购法》，并各自履行应负的全部责任和义务。</w:t>
      </w:r>
    </w:p>
    <w:p>
      <w:pPr>
        <w:autoSpaceDE w:val="0"/>
        <w:autoSpaceDN w:val="0"/>
        <w:adjustRightInd w:val="0"/>
        <w:spacing w:line="360" w:lineRule="auto"/>
        <w:ind w:firstLine="480" w:firstLineChars="200"/>
        <w:jc w:val="left"/>
        <w:rPr>
          <w:kern w:val="0"/>
          <w:sz w:val="24"/>
        </w:rPr>
      </w:pPr>
      <w:r>
        <w:rPr>
          <w:kern w:val="0"/>
          <w:sz w:val="24"/>
        </w:rPr>
        <w:t>2.需方保证按合同条款规定的时间和方式付给供方到期应付的货款，并承担应负的责任和义务。</w:t>
      </w:r>
    </w:p>
    <w:p>
      <w:pPr>
        <w:autoSpaceDE w:val="0"/>
        <w:autoSpaceDN w:val="0"/>
        <w:adjustRightInd w:val="0"/>
        <w:spacing w:line="360" w:lineRule="auto"/>
        <w:ind w:firstLine="480" w:firstLineChars="200"/>
        <w:jc w:val="left"/>
        <w:rPr>
          <w:kern w:val="0"/>
          <w:sz w:val="24"/>
        </w:rPr>
      </w:pPr>
      <w:r>
        <w:rPr>
          <w:kern w:val="0"/>
          <w:sz w:val="24"/>
        </w:rPr>
        <w:t>3.供方保证全部按合同条款规定的内容和交货期向需方提供合格的货物，并承担应负的责任和义务。</w:t>
      </w:r>
    </w:p>
    <w:p>
      <w:pPr>
        <w:autoSpaceDE w:val="0"/>
        <w:autoSpaceDN w:val="0"/>
        <w:adjustRightInd w:val="0"/>
        <w:spacing w:line="360" w:lineRule="auto"/>
        <w:ind w:firstLine="480" w:firstLineChars="200"/>
        <w:jc w:val="left"/>
        <w:rPr>
          <w:kern w:val="0"/>
          <w:sz w:val="24"/>
        </w:rPr>
      </w:pPr>
      <w:r>
        <w:rPr>
          <w:kern w:val="0"/>
          <w:sz w:val="24"/>
        </w:rPr>
        <w:t>4.合同文件</w:t>
      </w:r>
    </w:p>
    <w:p>
      <w:pPr>
        <w:autoSpaceDE w:val="0"/>
        <w:autoSpaceDN w:val="0"/>
        <w:adjustRightInd w:val="0"/>
        <w:spacing w:line="360" w:lineRule="auto"/>
        <w:ind w:firstLine="480" w:firstLineChars="200"/>
        <w:jc w:val="left"/>
        <w:rPr>
          <w:kern w:val="0"/>
          <w:sz w:val="24"/>
        </w:rPr>
      </w:pPr>
      <w:r>
        <w:rPr>
          <w:kern w:val="0"/>
          <w:sz w:val="24"/>
        </w:rPr>
        <w:t>下列文件为本合同不可分割的部分：</w:t>
      </w:r>
    </w:p>
    <w:p>
      <w:pPr>
        <w:autoSpaceDE w:val="0"/>
        <w:autoSpaceDN w:val="0"/>
        <w:adjustRightInd w:val="0"/>
        <w:spacing w:line="360" w:lineRule="auto"/>
        <w:ind w:firstLine="480" w:firstLineChars="200"/>
        <w:jc w:val="left"/>
        <w:rPr>
          <w:kern w:val="0"/>
          <w:sz w:val="24"/>
        </w:rPr>
      </w:pPr>
      <w:r>
        <w:rPr>
          <w:kern w:val="0"/>
          <w:sz w:val="24"/>
        </w:rPr>
        <w:t>4.1竞争性磋商文件(编号：　　　　)；</w:t>
      </w:r>
    </w:p>
    <w:p>
      <w:pPr>
        <w:autoSpaceDE w:val="0"/>
        <w:autoSpaceDN w:val="0"/>
        <w:adjustRightInd w:val="0"/>
        <w:spacing w:line="360" w:lineRule="auto"/>
        <w:ind w:firstLine="480" w:firstLineChars="200"/>
        <w:jc w:val="left"/>
        <w:rPr>
          <w:kern w:val="0"/>
          <w:sz w:val="24"/>
        </w:rPr>
      </w:pPr>
      <w:r>
        <w:rPr>
          <w:kern w:val="0"/>
          <w:sz w:val="24"/>
        </w:rPr>
        <w:t>4.2供方成交的响应文件（副本）；</w:t>
      </w:r>
    </w:p>
    <w:p>
      <w:pPr>
        <w:autoSpaceDE w:val="0"/>
        <w:autoSpaceDN w:val="0"/>
        <w:adjustRightInd w:val="0"/>
        <w:spacing w:line="360" w:lineRule="auto"/>
        <w:ind w:firstLine="480" w:firstLineChars="200"/>
        <w:jc w:val="left"/>
        <w:rPr>
          <w:kern w:val="0"/>
          <w:sz w:val="24"/>
        </w:rPr>
      </w:pPr>
      <w:r>
        <w:rPr>
          <w:kern w:val="0"/>
          <w:sz w:val="24"/>
        </w:rPr>
        <w:t>4.3合同书；</w:t>
      </w:r>
    </w:p>
    <w:p>
      <w:pPr>
        <w:autoSpaceDE w:val="0"/>
        <w:autoSpaceDN w:val="0"/>
        <w:adjustRightInd w:val="0"/>
        <w:spacing w:line="360" w:lineRule="auto"/>
        <w:ind w:firstLine="480" w:firstLineChars="200"/>
        <w:jc w:val="left"/>
        <w:rPr>
          <w:kern w:val="0"/>
          <w:sz w:val="24"/>
        </w:rPr>
      </w:pPr>
      <w:r>
        <w:rPr>
          <w:kern w:val="0"/>
          <w:sz w:val="24"/>
        </w:rPr>
        <w:t>4.4合同条款；</w:t>
      </w:r>
    </w:p>
    <w:p>
      <w:pPr>
        <w:autoSpaceDE w:val="0"/>
        <w:autoSpaceDN w:val="0"/>
        <w:adjustRightInd w:val="0"/>
        <w:spacing w:line="360" w:lineRule="auto"/>
        <w:ind w:firstLine="480" w:firstLineChars="200"/>
        <w:jc w:val="left"/>
        <w:rPr>
          <w:kern w:val="0"/>
          <w:sz w:val="24"/>
        </w:rPr>
      </w:pPr>
      <w:r>
        <w:rPr>
          <w:kern w:val="0"/>
          <w:sz w:val="24"/>
        </w:rPr>
        <w:t>4.5</w:t>
      </w:r>
      <w:r>
        <w:rPr>
          <w:rFonts w:hint="eastAsia"/>
          <w:kern w:val="0"/>
          <w:sz w:val="24"/>
          <w:szCs w:val="20"/>
        </w:rPr>
        <w:t>（集中采购机构名称）</w:t>
      </w:r>
      <w:r>
        <w:rPr>
          <w:kern w:val="0"/>
          <w:sz w:val="24"/>
        </w:rPr>
        <w:t>发出的成交通知书；</w:t>
      </w:r>
    </w:p>
    <w:p>
      <w:pPr>
        <w:autoSpaceDE w:val="0"/>
        <w:autoSpaceDN w:val="0"/>
        <w:adjustRightInd w:val="0"/>
        <w:spacing w:line="360" w:lineRule="auto"/>
        <w:ind w:firstLine="480" w:firstLineChars="200"/>
        <w:jc w:val="left"/>
        <w:rPr>
          <w:kern w:val="0"/>
          <w:sz w:val="24"/>
        </w:rPr>
      </w:pPr>
      <w:r>
        <w:rPr>
          <w:kern w:val="0"/>
          <w:sz w:val="24"/>
        </w:rPr>
        <w:t>4.6在商洽本合同时，双方澄清、确认并共同签字的补充文件、技术协议。</w:t>
      </w:r>
    </w:p>
    <w:p>
      <w:pPr>
        <w:autoSpaceDE w:val="0"/>
        <w:autoSpaceDN w:val="0"/>
        <w:adjustRightInd w:val="0"/>
        <w:spacing w:line="360" w:lineRule="auto"/>
        <w:ind w:firstLine="480" w:firstLineChars="200"/>
        <w:jc w:val="left"/>
        <w:rPr>
          <w:kern w:val="0"/>
          <w:sz w:val="24"/>
        </w:rPr>
      </w:pPr>
      <w:r>
        <w:rPr>
          <w:kern w:val="0"/>
          <w:sz w:val="24"/>
        </w:rPr>
        <w:t>5.合同范围和条件</w:t>
      </w:r>
    </w:p>
    <w:p>
      <w:pPr>
        <w:autoSpaceDE w:val="0"/>
        <w:autoSpaceDN w:val="0"/>
        <w:adjustRightInd w:val="0"/>
        <w:spacing w:line="360" w:lineRule="auto"/>
        <w:ind w:firstLine="480" w:firstLineChars="200"/>
        <w:jc w:val="left"/>
        <w:rPr>
          <w:kern w:val="0"/>
          <w:sz w:val="24"/>
        </w:rPr>
      </w:pPr>
      <w:r>
        <w:rPr>
          <w:kern w:val="0"/>
          <w:sz w:val="24"/>
        </w:rPr>
        <w:t>本合同的范围和条件应与上述规定的合同文件内容相一致。</w:t>
      </w:r>
    </w:p>
    <w:p>
      <w:pPr>
        <w:autoSpaceDE w:val="0"/>
        <w:autoSpaceDN w:val="0"/>
        <w:adjustRightInd w:val="0"/>
        <w:spacing w:line="360" w:lineRule="auto"/>
        <w:ind w:firstLine="480" w:firstLineChars="200"/>
        <w:jc w:val="left"/>
        <w:rPr>
          <w:kern w:val="0"/>
          <w:sz w:val="24"/>
        </w:rPr>
      </w:pPr>
      <w:r>
        <w:rPr>
          <w:kern w:val="0"/>
          <w:sz w:val="24"/>
        </w:rPr>
        <w:t>6.货物及数量</w:t>
      </w:r>
    </w:p>
    <w:p>
      <w:pPr>
        <w:autoSpaceDE w:val="0"/>
        <w:autoSpaceDN w:val="0"/>
        <w:adjustRightInd w:val="0"/>
        <w:spacing w:line="360" w:lineRule="auto"/>
        <w:ind w:firstLine="480" w:firstLineChars="200"/>
        <w:jc w:val="left"/>
        <w:rPr>
          <w:kern w:val="0"/>
          <w:sz w:val="24"/>
        </w:rPr>
      </w:pPr>
      <w:r>
        <w:rPr>
          <w:kern w:val="0"/>
          <w:sz w:val="24"/>
        </w:rPr>
        <w:t>本合同所提供的货物及数量详见磋商文件的要求及供方响应文件中的承诺。</w:t>
      </w:r>
    </w:p>
    <w:p>
      <w:pPr>
        <w:autoSpaceDE w:val="0"/>
        <w:autoSpaceDN w:val="0"/>
        <w:adjustRightInd w:val="0"/>
        <w:spacing w:line="360" w:lineRule="auto"/>
        <w:ind w:firstLine="480" w:firstLineChars="200"/>
        <w:jc w:val="left"/>
        <w:rPr>
          <w:kern w:val="0"/>
          <w:sz w:val="24"/>
        </w:rPr>
      </w:pPr>
      <w:r>
        <w:rPr>
          <w:kern w:val="0"/>
          <w:sz w:val="24"/>
        </w:rPr>
        <w:t>7.付款条件</w:t>
      </w:r>
    </w:p>
    <w:p>
      <w:pPr>
        <w:autoSpaceDE w:val="0"/>
        <w:autoSpaceDN w:val="0"/>
        <w:adjustRightInd w:val="0"/>
        <w:spacing w:line="360" w:lineRule="auto"/>
        <w:ind w:firstLine="480" w:firstLineChars="200"/>
        <w:jc w:val="left"/>
        <w:rPr>
          <w:kern w:val="0"/>
          <w:sz w:val="24"/>
        </w:rPr>
      </w:pPr>
      <w:r>
        <w:rPr>
          <w:kern w:val="0"/>
          <w:sz w:val="24"/>
        </w:rPr>
        <w:t>本合同的付款条件在磋商文件的磋商书中有明确规定。</w:t>
      </w:r>
    </w:p>
    <w:p>
      <w:pPr>
        <w:autoSpaceDE w:val="0"/>
        <w:autoSpaceDN w:val="0"/>
        <w:adjustRightInd w:val="0"/>
        <w:spacing w:line="360" w:lineRule="auto"/>
        <w:ind w:firstLine="480" w:firstLineChars="200"/>
        <w:jc w:val="left"/>
        <w:rPr>
          <w:kern w:val="0"/>
          <w:sz w:val="24"/>
        </w:rPr>
      </w:pPr>
      <w:r>
        <w:rPr>
          <w:kern w:val="0"/>
          <w:sz w:val="24"/>
        </w:rPr>
        <w:t>8.合同金额</w:t>
      </w:r>
    </w:p>
    <w:p>
      <w:pPr>
        <w:autoSpaceDE w:val="0"/>
        <w:autoSpaceDN w:val="0"/>
        <w:adjustRightInd w:val="0"/>
        <w:spacing w:line="360" w:lineRule="auto"/>
        <w:ind w:firstLine="480" w:firstLineChars="200"/>
        <w:jc w:val="left"/>
        <w:rPr>
          <w:kern w:val="0"/>
          <w:sz w:val="24"/>
        </w:rPr>
      </w:pPr>
      <w:r>
        <w:rPr>
          <w:kern w:val="0"/>
          <w:sz w:val="24"/>
        </w:rPr>
        <w:t>合同总金额见合同书，分项价格在供方的最终报价表中有明确规定。</w:t>
      </w:r>
    </w:p>
    <w:p>
      <w:pPr>
        <w:autoSpaceDE w:val="0"/>
        <w:autoSpaceDN w:val="0"/>
        <w:adjustRightInd w:val="0"/>
        <w:spacing w:line="360" w:lineRule="auto"/>
        <w:ind w:firstLine="480" w:firstLineChars="200"/>
        <w:jc w:val="left"/>
        <w:rPr>
          <w:kern w:val="0"/>
          <w:sz w:val="24"/>
        </w:rPr>
      </w:pPr>
      <w:r>
        <w:rPr>
          <w:kern w:val="0"/>
          <w:sz w:val="24"/>
        </w:rPr>
        <w:t>9.交货时间和交货地点</w:t>
      </w:r>
    </w:p>
    <w:p>
      <w:pPr>
        <w:autoSpaceDE w:val="0"/>
        <w:autoSpaceDN w:val="0"/>
        <w:adjustRightInd w:val="0"/>
        <w:spacing w:line="360" w:lineRule="auto"/>
        <w:ind w:firstLine="480" w:firstLineChars="200"/>
        <w:jc w:val="left"/>
        <w:rPr>
          <w:kern w:val="0"/>
          <w:sz w:val="24"/>
        </w:rPr>
      </w:pPr>
      <w:r>
        <w:rPr>
          <w:kern w:val="0"/>
          <w:sz w:val="24"/>
        </w:rPr>
        <w:t>本合同中货物的交货时间、交货地点在竞争性磋商文件中有明确规定。</w:t>
      </w:r>
    </w:p>
    <w:p>
      <w:pPr>
        <w:autoSpaceDE w:val="0"/>
        <w:autoSpaceDN w:val="0"/>
        <w:adjustRightInd w:val="0"/>
        <w:spacing w:line="360" w:lineRule="auto"/>
        <w:ind w:firstLine="480" w:firstLineChars="200"/>
        <w:jc w:val="left"/>
        <w:rPr>
          <w:kern w:val="0"/>
          <w:sz w:val="24"/>
        </w:rPr>
      </w:pPr>
      <w:r>
        <w:rPr>
          <w:kern w:val="0"/>
          <w:sz w:val="24"/>
        </w:rPr>
        <w:t>10.合同生效</w:t>
      </w:r>
    </w:p>
    <w:p>
      <w:pPr>
        <w:autoSpaceDE w:val="0"/>
        <w:autoSpaceDN w:val="0"/>
        <w:adjustRightInd w:val="0"/>
        <w:spacing w:line="360" w:lineRule="auto"/>
        <w:ind w:firstLine="480" w:firstLineChars="200"/>
        <w:jc w:val="left"/>
        <w:rPr>
          <w:kern w:val="0"/>
          <w:sz w:val="24"/>
        </w:rPr>
      </w:pPr>
      <w:r>
        <w:rPr>
          <w:kern w:val="0"/>
          <w:sz w:val="24"/>
        </w:rPr>
        <w:t>本合同经供、需双方授权代表签字和加盖公章（或合同专用章）后生效。如申请公证的，合同需经公证机构公证后生效。</w:t>
      </w:r>
    </w:p>
    <w:p>
      <w:pPr>
        <w:autoSpaceDE w:val="0"/>
        <w:autoSpaceDN w:val="0"/>
        <w:adjustRightInd w:val="0"/>
        <w:spacing w:line="360" w:lineRule="auto"/>
        <w:ind w:firstLine="480" w:firstLineChars="200"/>
        <w:jc w:val="left"/>
        <w:rPr>
          <w:kern w:val="0"/>
          <w:sz w:val="24"/>
        </w:rPr>
      </w:pPr>
      <w:r>
        <w:rPr>
          <w:kern w:val="0"/>
          <w:sz w:val="24"/>
        </w:rPr>
        <w:t>11.合同的份数</w:t>
      </w:r>
    </w:p>
    <w:p>
      <w:pPr>
        <w:autoSpaceDE w:val="0"/>
        <w:autoSpaceDN w:val="0"/>
        <w:adjustRightInd w:val="0"/>
        <w:spacing w:line="360" w:lineRule="auto"/>
        <w:ind w:firstLine="480" w:firstLineChars="200"/>
        <w:jc w:val="left"/>
        <w:rPr>
          <w:kern w:val="0"/>
          <w:sz w:val="24"/>
        </w:rPr>
      </w:pPr>
      <w:r>
        <w:rPr>
          <w:kern w:val="0"/>
          <w:sz w:val="24"/>
        </w:rPr>
        <w:t>本合同正本一式　　份，需方执　　份，供方执　　份；副本一式　　份，需方执　　份，供方执　　份，湖北省财政厅政府采购管理处壹份备案。</w:t>
      </w:r>
    </w:p>
    <w:p>
      <w:pPr>
        <w:autoSpaceDE w:val="0"/>
        <w:autoSpaceDN w:val="0"/>
        <w:adjustRightInd w:val="0"/>
        <w:spacing w:line="360" w:lineRule="auto"/>
        <w:ind w:firstLine="480" w:firstLineChars="200"/>
        <w:jc w:val="left"/>
        <w:rPr>
          <w:kern w:val="0"/>
          <w:sz w:val="24"/>
        </w:rPr>
      </w:pPr>
      <w:r>
        <w:rPr>
          <w:kern w:val="0"/>
          <w:sz w:val="24"/>
        </w:rPr>
        <w:t>需　　方：</w:t>
      </w:r>
      <w:r>
        <w:rPr>
          <w:kern w:val="0"/>
          <w:sz w:val="24"/>
        </w:rPr>
        <w:tab/>
      </w:r>
      <w:r>
        <w:rPr>
          <w:rFonts w:hint="eastAsia"/>
          <w:kern w:val="0"/>
          <w:sz w:val="24"/>
        </w:rPr>
        <w:t xml:space="preserve">                     </w:t>
      </w:r>
      <w:r>
        <w:rPr>
          <w:kern w:val="0"/>
          <w:sz w:val="24"/>
        </w:rPr>
        <w:t>供　　方：</w:t>
      </w:r>
    </w:p>
    <w:p>
      <w:pPr>
        <w:autoSpaceDE w:val="0"/>
        <w:autoSpaceDN w:val="0"/>
        <w:adjustRightInd w:val="0"/>
        <w:spacing w:line="360" w:lineRule="auto"/>
        <w:ind w:firstLine="480" w:firstLineChars="200"/>
        <w:jc w:val="left"/>
        <w:rPr>
          <w:kern w:val="0"/>
          <w:sz w:val="24"/>
        </w:rPr>
      </w:pPr>
      <w:r>
        <w:rPr>
          <w:kern w:val="0"/>
          <w:sz w:val="24"/>
        </w:rPr>
        <w:t>单位名称（盖章）：</w:t>
      </w:r>
      <w:r>
        <w:rPr>
          <w:kern w:val="0"/>
          <w:sz w:val="24"/>
        </w:rPr>
        <w:tab/>
      </w:r>
      <w:r>
        <w:rPr>
          <w:rFonts w:hint="eastAsia"/>
          <w:kern w:val="0"/>
          <w:sz w:val="24"/>
        </w:rPr>
        <w:t xml:space="preserve">              </w:t>
      </w:r>
      <w:r>
        <w:rPr>
          <w:kern w:val="0"/>
          <w:sz w:val="24"/>
        </w:rPr>
        <w:t>单位名称（盖章）：</w:t>
      </w:r>
    </w:p>
    <w:p>
      <w:pPr>
        <w:autoSpaceDE w:val="0"/>
        <w:autoSpaceDN w:val="0"/>
        <w:adjustRightInd w:val="0"/>
        <w:spacing w:line="360" w:lineRule="auto"/>
        <w:ind w:firstLine="480" w:firstLineChars="200"/>
        <w:jc w:val="left"/>
        <w:rPr>
          <w:kern w:val="0"/>
          <w:sz w:val="24"/>
        </w:rPr>
      </w:pPr>
      <w:r>
        <w:rPr>
          <w:kern w:val="0"/>
          <w:sz w:val="24"/>
        </w:rPr>
        <w:t>单位地址：</w:t>
      </w:r>
      <w:r>
        <w:rPr>
          <w:kern w:val="0"/>
          <w:sz w:val="24"/>
        </w:rPr>
        <w:tab/>
      </w:r>
      <w:r>
        <w:rPr>
          <w:rFonts w:hint="eastAsia"/>
          <w:kern w:val="0"/>
          <w:sz w:val="24"/>
        </w:rPr>
        <w:t xml:space="preserve">                     </w:t>
      </w:r>
      <w:r>
        <w:rPr>
          <w:kern w:val="0"/>
          <w:sz w:val="24"/>
        </w:rPr>
        <w:t>单位地址：</w:t>
      </w:r>
    </w:p>
    <w:p>
      <w:pPr>
        <w:autoSpaceDE w:val="0"/>
        <w:autoSpaceDN w:val="0"/>
        <w:adjustRightInd w:val="0"/>
        <w:spacing w:line="360" w:lineRule="auto"/>
        <w:ind w:firstLine="480" w:firstLineChars="200"/>
        <w:jc w:val="left"/>
        <w:rPr>
          <w:kern w:val="0"/>
          <w:sz w:val="24"/>
        </w:rPr>
      </w:pPr>
      <w:r>
        <w:rPr>
          <w:kern w:val="0"/>
          <w:sz w:val="24"/>
        </w:rPr>
        <w:t>法人（负责人）代表授权人(签字)：</w:t>
      </w:r>
      <w:r>
        <w:rPr>
          <w:kern w:val="0"/>
          <w:sz w:val="24"/>
        </w:rPr>
        <w:tab/>
      </w:r>
      <w:r>
        <w:rPr>
          <w:kern w:val="0"/>
          <w:sz w:val="24"/>
        </w:rPr>
        <w:t>法人（负责人）代表授权人(签字)：</w:t>
      </w:r>
    </w:p>
    <w:p>
      <w:pPr>
        <w:autoSpaceDE w:val="0"/>
        <w:autoSpaceDN w:val="0"/>
        <w:adjustRightInd w:val="0"/>
        <w:spacing w:line="360" w:lineRule="auto"/>
        <w:ind w:firstLine="480" w:firstLineChars="200"/>
        <w:jc w:val="left"/>
        <w:rPr>
          <w:kern w:val="0"/>
          <w:sz w:val="24"/>
        </w:rPr>
      </w:pPr>
      <w:r>
        <w:rPr>
          <w:kern w:val="0"/>
          <w:sz w:val="24"/>
        </w:rPr>
        <w:t>联系人：</w:t>
      </w:r>
      <w:r>
        <w:rPr>
          <w:kern w:val="0"/>
          <w:sz w:val="24"/>
        </w:rPr>
        <w:tab/>
      </w:r>
      <w:r>
        <w:rPr>
          <w:rFonts w:hint="eastAsia"/>
          <w:kern w:val="0"/>
          <w:sz w:val="24"/>
        </w:rPr>
        <w:t xml:space="preserve">                         </w:t>
      </w:r>
      <w:r>
        <w:rPr>
          <w:kern w:val="0"/>
          <w:sz w:val="24"/>
        </w:rPr>
        <w:t>联系人：</w:t>
      </w:r>
    </w:p>
    <w:p>
      <w:pPr>
        <w:autoSpaceDE w:val="0"/>
        <w:autoSpaceDN w:val="0"/>
        <w:adjustRightInd w:val="0"/>
        <w:spacing w:line="360" w:lineRule="auto"/>
        <w:ind w:firstLine="480" w:firstLineChars="200"/>
        <w:jc w:val="left"/>
        <w:rPr>
          <w:kern w:val="0"/>
          <w:sz w:val="24"/>
        </w:rPr>
      </w:pPr>
      <w:r>
        <w:rPr>
          <w:kern w:val="0"/>
          <w:sz w:val="24"/>
        </w:rPr>
        <w:t>电　　话：</w:t>
      </w:r>
      <w:r>
        <w:rPr>
          <w:kern w:val="0"/>
          <w:sz w:val="24"/>
        </w:rPr>
        <w:tab/>
      </w:r>
      <w:r>
        <w:rPr>
          <w:rFonts w:hint="eastAsia"/>
          <w:kern w:val="0"/>
          <w:sz w:val="24"/>
        </w:rPr>
        <w:t xml:space="preserve">                     </w:t>
      </w:r>
      <w:r>
        <w:rPr>
          <w:kern w:val="0"/>
          <w:sz w:val="24"/>
        </w:rPr>
        <w:t>电　　话：</w:t>
      </w:r>
    </w:p>
    <w:p>
      <w:pPr>
        <w:autoSpaceDE w:val="0"/>
        <w:autoSpaceDN w:val="0"/>
        <w:adjustRightInd w:val="0"/>
        <w:spacing w:line="360" w:lineRule="auto"/>
        <w:ind w:firstLine="480" w:firstLineChars="200"/>
        <w:jc w:val="left"/>
        <w:rPr>
          <w:kern w:val="0"/>
          <w:sz w:val="24"/>
        </w:rPr>
      </w:pPr>
      <w:r>
        <w:rPr>
          <w:kern w:val="0"/>
          <w:sz w:val="24"/>
        </w:rPr>
        <w:t>传　　真：</w:t>
      </w:r>
      <w:r>
        <w:rPr>
          <w:kern w:val="0"/>
          <w:sz w:val="24"/>
        </w:rPr>
        <w:tab/>
      </w:r>
      <w:r>
        <w:rPr>
          <w:rFonts w:hint="eastAsia"/>
          <w:kern w:val="0"/>
          <w:sz w:val="24"/>
        </w:rPr>
        <w:t xml:space="preserve">                     </w:t>
      </w:r>
      <w:r>
        <w:rPr>
          <w:kern w:val="0"/>
          <w:sz w:val="24"/>
        </w:rPr>
        <w:t>传　　真：</w:t>
      </w:r>
    </w:p>
    <w:p>
      <w:pPr>
        <w:autoSpaceDE w:val="0"/>
        <w:autoSpaceDN w:val="0"/>
        <w:adjustRightInd w:val="0"/>
        <w:spacing w:line="360" w:lineRule="auto"/>
        <w:ind w:firstLine="480" w:firstLineChars="200"/>
        <w:jc w:val="left"/>
        <w:rPr>
          <w:kern w:val="0"/>
          <w:sz w:val="24"/>
        </w:rPr>
      </w:pPr>
      <w:r>
        <w:rPr>
          <w:kern w:val="0"/>
          <w:sz w:val="24"/>
        </w:rPr>
        <w:t>邮政编码：</w:t>
      </w:r>
      <w:r>
        <w:rPr>
          <w:kern w:val="0"/>
          <w:sz w:val="24"/>
        </w:rPr>
        <w:tab/>
      </w:r>
      <w:r>
        <w:rPr>
          <w:rFonts w:hint="eastAsia"/>
          <w:kern w:val="0"/>
          <w:sz w:val="24"/>
        </w:rPr>
        <w:t xml:space="preserve">                     </w:t>
      </w:r>
      <w:r>
        <w:rPr>
          <w:kern w:val="0"/>
          <w:sz w:val="24"/>
        </w:rPr>
        <w:t>邮政编码：</w:t>
      </w:r>
    </w:p>
    <w:p>
      <w:pPr>
        <w:autoSpaceDE w:val="0"/>
        <w:autoSpaceDN w:val="0"/>
        <w:adjustRightInd w:val="0"/>
        <w:spacing w:line="360" w:lineRule="auto"/>
        <w:ind w:firstLine="480" w:firstLineChars="200"/>
        <w:jc w:val="left"/>
        <w:rPr>
          <w:kern w:val="0"/>
          <w:sz w:val="24"/>
        </w:rPr>
      </w:pPr>
      <w:r>
        <w:rPr>
          <w:kern w:val="0"/>
          <w:sz w:val="24"/>
        </w:rPr>
        <w:t>开户银行：</w:t>
      </w:r>
      <w:r>
        <w:rPr>
          <w:kern w:val="0"/>
          <w:sz w:val="24"/>
        </w:rPr>
        <w:tab/>
      </w:r>
      <w:r>
        <w:rPr>
          <w:rFonts w:hint="eastAsia"/>
          <w:kern w:val="0"/>
          <w:sz w:val="24"/>
        </w:rPr>
        <w:t xml:space="preserve">                     </w:t>
      </w:r>
      <w:r>
        <w:rPr>
          <w:kern w:val="0"/>
          <w:sz w:val="24"/>
        </w:rPr>
        <w:t>开户银行：</w:t>
      </w:r>
    </w:p>
    <w:p>
      <w:pPr>
        <w:autoSpaceDE w:val="0"/>
        <w:autoSpaceDN w:val="0"/>
        <w:adjustRightInd w:val="0"/>
        <w:spacing w:line="360" w:lineRule="auto"/>
        <w:ind w:firstLine="480" w:firstLineChars="200"/>
        <w:jc w:val="left"/>
        <w:rPr>
          <w:kern w:val="0"/>
          <w:sz w:val="24"/>
        </w:rPr>
      </w:pPr>
      <w:r>
        <w:rPr>
          <w:kern w:val="0"/>
          <w:sz w:val="24"/>
        </w:rPr>
        <w:t>帐　　号：</w:t>
      </w:r>
      <w:r>
        <w:rPr>
          <w:kern w:val="0"/>
          <w:sz w:val="24"/>
        </w:rPr>
        <w:tab/>
      </w:r>
      <w:r>
        <w:rPr>
          <w:rFonts w:hint="eastAsia"/>
          <w:kern w:val="0"/>
          <w:sz w:val="24"/>
        </w:rPr>
        <w:t xml:space="preserve">                     </w:t>
      </w:r>
      <w:r>
        <w:rPr>
          <w:kern w:val="0"/>
          <w:sz w:val="24"/>
        </w:rPr>
        <w:t>帐　　号：</w:t>
      </w:r>
    </w:p>
    <w:p>
      <w:pPr>
        <w:autoSpaceDE w:val="0"/>
        <w:autoSpaceDN w:val="0"/>
        <w:adjustRightInd w:val="0"/>
        <w:spacing w:line="360" w:lineRule="auto"/>
        <w:ind w:firstLine="480" w:firstLineChars="200"/>
        <w:jc w:val="left"/>
        <w:rPr>
          <w:kern w:val="0"/>
          <w:sz w:val="24"/>
        </w:rPr>
      </w:pPr>
      <w:r>
        <w:rPr>
          <w:kern w:val="0"/>
          <w:sz w:val="24"/>
        </w:rPr>
        <w:t>税　　号：</w:t>
      </w:r>
      <w:r>
        <w:rPr>
          <w:kern w:val="0"/>
          <w:sz w:val="24"/>
        </w:rPr>
        <w:tab/>
      </w:r>
      <w:r>
        <w:rPr>
          <w:rFonts w:hint="eastAsia"/>
          <w:kern w:val="0"/>
          <w:sz w:val="24"/>
        </w:rPr>
        <w:t xml:space="preserve">                     </w:t>
      </w:r>
      <w:r>
        <w:rPr>
          <w:kern w:val="0"/>
          <w:sz w:val="24"/>
        </w:rPr>
        <w:t>税　　号：</w:t>
      </w:r>
    </w:p>
    <w:p>
      <w:pPr>
        <w:widowControl/>
        <w:spacing w:line="360" w:lineRule="auto"/>
        <w:jc w:val="left"/>
        <w:rPr>
          <w:b/>
          <w:sz w:val="24"/>
        </w:rPr>
      </w:pPr>
    </w:p>
    <w:p>
      <w:pPr>
        <w:rPr>
          <w:color w:val="000000"/>
          <w:sz w:val="36"/>
          <w:szCs w:val="36"/>
        </w:rPr>
      </w:pPr>
      <w:r>
        <w:rPr>
          <w:color w:val="000000"/>
          <w:sz w:val="36"/>
          <w:szCs w:val="36"/>
        </w:rPr>
        <w:br w:type="page"/>
      </w:r>
    </w:p>
    <w:p>
      <w:pPr>
        <w:adjustRightInd w:val="0"/>
        <w:snapToGrid w:val="0"/>
        <w:jc w:val="center"/>
        <w:outlineLvl w:val="0"/>
        <w:rPr>
          <w:color w:val="000000"/>
          <w:sz w:val="36"/>
          <w:szCs w:val="36"/>
        </w:rPr>
      </w:pPr>
      <w:bookmarkStart w:id="20" w:name="_Toc7831"/>
      <w:r>
        <w:rPr>
          <w:color w:val="000000"/>
          <w:sz w:val="36"/>
          <w:szCs w:val="36"/>
        </w:rPr>
        <w:t>第</w:t>
      </w:r>
      <w:r>
        <w:rPr>
          <w:rFonts w:hint="eastAsia"/>
          <w:color w:val="000000"/>
          <w:sz w:val="36"/>
          <w:szCs w:val="36"/>
        </w:rPr>
        <w:t>六</w:t>
      </w:r>
      <w:r>
        <w:rPr>
          <w:color w:val="000000"/>
          <w:sz w:val="36"/>
          <w:szCs w:val="36"/>
        </w:rPr>
        <w:t>章</w:t>
      </w:r>
      <w:r>
        <w:rPr>
          <w:rFonts w:hint="eastAsia"/>
          <w:color w:val="000000"/>
          <w:sz w:val="36"/>
          <w:szCs w:val="36"/>
        </w:rPr>
        <w:t xml:space="preserve"> </w:t>
      </w:r>
      <w:r>
        <w:rPr>
          <w:color w:val="000000"/>
          <w:sz w:val="36"/>
          <w:szCs w:val="36"/>
        </w:rPr>
        <w:t>响应文件格式</w:t>
      </w:r>
      <w:bookmarkEnd w:id="19"/>
      <w:bookmarkEnd w:id="20"/>
    </w:p>
    <w:p>
      <w:pPr>
        <w:adjustRightInd w:val="0"/>
        <w:snapToGrid w:val="0"/>
        <w:jc w:val="center"/>
        <w:rPr>
          <w:b/>
          <w:color w:val="000000"/>
          <w:sz w:val="18"/>
          <w:szCs w:val="18"/>
        </w:rPr>
      </w:pPr>
    </w:p>
    <w:p>
      <w:pPr>
        <w:adjustRightInd w:val="0"/>
        <w:snapToGrid w:val="0"/>
        <w:rPr>
          <w:color w:val="000000"/>
          <w:szCs w:val="28"/>
        </w:rPr>
      </w:pPr>
    </w:p>
    <w:p>
      <w:pPr>
        <w:adjustRightInd w:val="0"/>
        <w:snapToGrid w:val="0"/>
        <w:ind w:firstLine="560" w:firstLineChars="200"/>
        <w:outlineLvl w:val="0"/>
        <w:rPr>
          <w:color w:val="000000"/>
          <w:szCs w:val="28"/>
        </w:rPr>
      </w:pPr>
      <w:bookmarkStart w:id="21" w:name="_Toc21276"/>
      <w:bookmarkStart w:id="22" w:name="_Toc2950"/>
      <w:r>
        <w:rPr>
          <w:color w:val="000000"/>
          <w:szCs w:val="28"/>
        </w:rPr>
        <w:t>封面：</w:t>
      </w:r>
      <w:bookmarkEnd w:id="21"/>
      <w:bookmarkEnd w:id="22"/>
    </w:p>
    <w:p>
      <w:pPr>
        <w:pStyle w:val="19"/>
        <w:tabs>
          <w:tab w:val="left" w:pos="1260"/>
        </w:tabs>
        <w:jc w:val="center"/>
        <w:rPr>
          <w:rFonts w:ascii="Times New Roman" w:hAnsi="Times New Roman" w:cs="Times New Roman"/>
          <w:bCs/>
          <w:color w:val="000000"/>
          <w:spacing w:val="100"/>
          <w:w w:val="110"/>
          <w:kern w:val="0"/>
          <w:sz w:val="36"/>
          <w:szCs w:val="36"/>
        </w:rPr>
      </w:pPr>
      <w:r>
        <w:rPr>
          <w:rFonts w:hint="eastAsia" w:ascii="Times New Roman" w:hAnsi="Times New Roman" w:cs="Times New Roman"/>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pPr>
        <w:pStyle w:val="19"/>
        <w:tabs>
          <w:tab w:val="left" w:pos="1260"/>
        </w:tabs>
        <w:jc w:val="center"/>
        <w:rPr>
          <w:rFonts w:ascii="Times New Roman" w:hAnsi="Times New Roman" w:cs="Times New Roman"/>
          <w:color w:val="000000"/>
          <w:spacing w:val="100"/>
          <w:w w:val="110"/>
          <w:sz w:val="100"/>
          <w:szCs w:val="100"/>
        </w:rPr>
      </w:pPr>
      <w:r>
        <w:rPr>
          <w:rFonts w:hint="eastAsia" w:ascii="Times New Roman" w:hAnsi="Times New Roman" w:cs="Times New Roman"/>
          <w:bCs/>
          <w:color w:val="000000"/>
          <w:spacing w:val="100"/>
          <w:w w:val="110"/>
          <w:kern w:val="0"/>
          <w:sz w:val="100"/>
          <w:szCs w:val="100"/>
        </w:rPr>
        <w:t>磋商</w:t>
      </w:r>
      <w:r>
        <w:rPr>
          <w:rFonts w:ascii="Times New Roman" w:hAnsi="Times New Roman" w:cs="Times New Roman"/>
          <w:bCs/>
          <w:color w:val="000000"/>
          <w:spacing w:val="100"/>
          <w:w w:val="110"/>
          <w:kern w:val="0"/>
          <w:sz w:val="100"/>
          <w:szCs w:val="100"/>
        </w:rPr>
        <w:t>响应文件</w:t>
      </w:r>
    </w:p>
    <w:p>
      <w:pPr>
        <w:pStyle w:val="19"/>
        <w:jc w:val="center"/>
        <w:rPr>
          <w:rFonts w:ascii="Times New Roman" w:hAnsi="Times New Roman" w:cs="Times New Roman"/>
          <w:color w:val="000000"/>
          <w:sz w:val="44"/>
        </w:rPr>
      </w:pPr>
      <w:r>
        <w:rPr>
          <w:rFonts w:ascii="Times New Roman" w:hAnsi="Times New Roman" w:cs="Times New Roman"/>
          <w:color w:val="000000"/>
          <w:sz w:val="44"/>
        </w:rPr>
        <w:t>（正本/副本）</w:t>
      </w:r>
    </w:p>
    <w:p>
      <w:pPr>
        <w:pStyle w:val="19"/>
        <w:jc w:val="center"/>
        <w:rPr>
          <w:rFonts w:ascii="Times New Roman" w:hAnsi="Times New Roman" w:cs="Times New Roman"/>
          <w:color w:val="000000"/>
          <w:sz w:val="44"/>
        </w:rPr>
      </w:pPr>
    </w:p>
    <w:p>
      <w:pPr>
        <w:pStyle w:val="19"/>
        <w:rPr>
          <w:rFonts w:ascii="Times New Roman" w:hAnsi="Times New Roman" w:cs="Times New Roman"/>
          <w:color w:val="000000"/>
          <w:sz w:val="44"/>
        </w:rPr>
      </w:pPr>
    </w:p>
    <w:p>
      <w:pPr>
        <w:pStyle w:val="19"/>
        <w:rPr>
          <w:rFonts w:ascii="Times New Roman" w:hAnsi="Times New Roman" w:cs="Times New Roman"/>
          <w:color w:val="000000"/>
          <w:sz w:val="44"/>
        </w:rPr>
      </w:pPr>
    </w:p>
    <w:p>
      <w:pPr>
        <w:pStyle w:val="19"/>
        <w:jc w:val="center"/>
        <w:rPr>
          <w:rFonts w:ascii="Times New Roman" w:hAnsi="Times New Roman" w:cs="Times New Roman"/>
          <w:color w:val="000000"/>
          <w:sz w:val="44"/>
        </w:rPr>
      </w:pPr>
    </w:p>
    <w:p>
      <w:pPr>
        <w:pStyle w:val="19"/>
        <w:spacing w:line="360" w:lineRule="auto"/>
        <w:ind w:firstLine="1280" w:firstLineChars="40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pPr>
        <w:pStyle w:val="19"/>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采购人：</w:t>
      </w:r>
    </w:p>
    <w:p>
      <w:pPr>
        <w:pStyle w:val="17"/>
        <w:spacing w:line="360" w:lineRule="auto"/>
        <w:ind w:firstLine="1280" w:firstLineChars="400"/>
        <w:rPr>
          <w:color w:val="000000"/>
          <w:szCs w:val="32"/>
          <w:u w:val="single"/>
        </w:rPr>
      </w:pPr>
      <w:r>
        <w:rPr>
          <w:color w:val="000000"/>
          <w:szCs w:val="32"/>
        </w:rPr>
        <w:t>项目名称：</w:t>
      </w:r>
    </w:p>
    <w:p>
      <w:pPr>
        <w:pStyle w:val="19"/>
        <w:spacing w:line="360" w:lineRule="auto"/>
        <w:ind w:firstLine="1280" w:firstLineChars="400"/>
        <w:rPr>
          <w:rFonts w:ascii="Times New Roman" w:hAnsi="Times New Roman" w:cs="Times New Roman"/>
          <w:color w:val="000000"/>
          <w:sz w:val="32"/>
          <w:szCs w:val="32"/>
          <w:u w:val="single"/>
        </w:rPr>
      </w:pPr>
      <w:r>
        <w:rPr>
          <w:rFonts w:hint="eastAsia" w:ascii="Times New Roman" w:hAnsi="Times New Roman" w:cs="Times New Roman"/>
          <w:color w:val="000000"/>
          <w:sz w:val="32"/>
          <w:szCs w:val="32"/>
        </w:rPr>
        <w:t>磋商</w:t>
      </w:r>
      <w:r>
        <w:rPr>
          <w:rFonts w:ascii="Times New Roman" w:hAnsi="Times New Roman" w:cs="Times New Roman"/>
          <w:color w:val="000000"/>
          <w:sz w:val="32"/>
          <w:szCs w:val="32"/>
        </w:rPr>
        <w:t>内容：</w:t>
      </w:r>
    </w:p>
    <w:p>
      <w:pPr>
        <w:pStyle w:val="19"/>
        <w:ind w:firstLine="1320" w:firstLineChars="300"/>
        <w:rPr>
          <w:rFonts w:ascii="Times New Roman" w:hAnsi="Times New Roman" w:cs="Times New Roman"/>
          <w:color w:val="000000"/>
          <w:sz w:val="44"/>
        </w:rPr>
      </w:pPr>
    </w:p>
    <w:p>
      <w:pPr>
        <w:pStyle w:val="19"/>
        <w:spacing w:line="360" w:lineRule="auto"/>
        <w:jc w:val="center"/>
        <w:rPr>
          <w:rFonts w:ascii="Times New Roman" w:hAnsi="Times New Roman" w:cs="Times New Roman"/>
          <w:color w:val="000000"/>
          <w:sz w:val="32"/>
          <w:szCs w:val="96"/>
          <w:u w:val="single"/>
        </w:rPr>
      </w:pPr>
      <w:r>
        <w:rPr>
          <w:rFonts w:hint="eastAsia" w:ascii="Times New Roman" w:hAnsi="Times New Roman" w:cs="Times New Roman"/>
          <w:color w:val="000000"/>
          <w:sz w:val="32"/>
          <w:szCs w:val="96"/>
        </w:rPr>
        <w:t>供应商名称：</w:t>
      </w:r>
    </w:p>
    <w:p>
      <w:pPr>
        <w:jc w:val="center"/>
        <w:rPr>
          <w:rFonts w:ascii="宋体" w:hAnsi="宋体"/>
          <w:sz w:val="32"/>
          <w:szCs w:val="32"/>
        </w:rPr>
      </w:pPr>
      <w:r>
        <w:rPr>
          <w:rFonts w:ascii="宋体" w:hAnsi="宋体"/>
          <w:sz w:val="32"/>
          <w:szCs w:val="32"/>
        </w:rPr>
        <w:t>年  月  日</w:t>
      </w:r>
    </w:p>
    <w:p>
      <w:pPr>
        <w:adjustRightInd w:val="0"/>
        <w:snapToGrid w:val="0"/>
        <w:rPr>
          <w:color w:val="000000" w:themeColor="text1"/>
          <w:szCs w:val="21"/>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adjustRightInd w:val="0"/>
        <w:snapToGrid w:val="0"/>
        <w:jc w:val="center"/>
        <w:rPr>
          <w:rFonts w:eastAsiaTheme="minorEastAsia"/>
          <w:color w:val="000000" w:themeColor="text1"/>
          <w:sz w:val="44"/>
          <w:szCs w:val="44"/>
          <w14:textFill>
            <w14:solidFill>
              <w14:schemeClr w14:val="tx1"/>
            </w14:solidFill>
          </w14:textFill>
        </w:rPr>
      </w:pPr>
    </w:p>
    <w:p>
      <w:pPr>
        <w:pStyle w:val="44"/>
        <w:ind w:firstLine="480"/>
      </w:pPr>
    </w:p>
    <w:p>
      <w:pPr>
        <w:adjustRightInd w:val="0"/>
        <w:snapToGrid w:val="0"/>
        <w:jc w:val="center"/>
        <w:rPr>
          <w:rFonts w:eastAsiaTheme="minorEastAsia"/>
          <w:color w:val="000000" w:themeColor="text1"/>
          <w:sz w:val="44"/>
          <w:szCs w:val="44"/>
          <w14:textFill>
            <w14:solidFill>
              <w14:schemeClr w14:val="tx1"/>
            </w14:solidFill>
          </w14:textFill>
        </w:rPr>
      </w:pPr>
      <w:bookmarkStart w:id="23" w:name="_Toc31698"/>
    </w:p>
    <w:p>
      <w:pPr>
        <w:adjustRightInd w:val="0"/>
        <w:snapToGrid w:val="0"/>
        <w:jc w:val="center"/>
        <w:outlineLvl w:val="0"/>
        <w:rPr>
          <w:rFonts w:eastAsiaTheme="minorEastAsia"/>
          <w:color w:val="000000" w:themeColor="text1"/>
          <w:sz w:val="44"/>
          <w:szCs w:val="44"/>
          <w14:textFill>
            <w14:solidFill>
              <w14:schemeClr w14:val="tx1"/>
            </w14:solidFill>
          </w14:textFill>
        </w:rPr>
      </w:pPr>
      <w:bookmarkStart w:id="24" w:name="_Toc21554"/>
      <w:r>
        <w:rPr>
          <w:rFonts w:eastAsiaTheme="minorEastAsia"/>
          <w:color w:val="000000" w:themeColor="text1"/>
          <w:sz w:val="44"/>
          <w:szCs w:val="44"/>
          <w14:textFill>
            <w14:solidFill>
              <w14:schemeClr w14:val="tx1"/>
            </w14:solidFill>
          </w14:textFill>
        </w:rPr>
        <w:t>目</w:t>
      </w:r>
      <w:r>
        <w:rPr>
          <w:rFonts w:hint="eastAsia" w:eastAsiaTheme="minorEastAsia"/>
          <w:color w:val="000000" w:themeColor="text1"/>
          <w:sz w:val="44"/>
          <w:szCs w:val="44"/>
          <w14:textFill>
            <w14:solidFill>
              <w14:schemeClr w14:val="tx1"/>
            </w14:solidFill>
          </w14:textFill>
        </w:rPr>
        <w:t xml:space="preserve">  </w:t>
      </w:r>
      <w:r>
        <w:rPr>
          <w:rFonts w:eastAsiaTheme="minorEastAsia"/>
          <w:color w:val="000000" w:themeColor="text1"/>
          <w:sz w:val="44"/>
          <w:szCs w:val="44"/>
          <w14:textFill>
            <w14:solidFill>
              <w14:schemeClr w14:val="tx1"/>
            </w14:solidFill>
          </w14:textFill>
        </w:rPr>
        <w:t>录</w:t>
      </w:r>
      <w:bookmarkEnd w:id="23"/>
      <w:bookmarkEnd w:id="24"/>
    </w:p>
    <w:p>
      <w:pPr>
        <w:adjustRightInd w:val="0"/>
        <w:snapToGrid w:val="0"/>
        <w:outlineLvl w:val="0"/>
        <w:rPr>
          <w:color w:val="000000" w:themeColor="text1"/>
          <w:sz w:val="24"/>
          <w14:textFill>
            <w14:solidFill>
              <w14:schemeClr w14:val="tx1"/>
            </w14:solidFill>
          </w14:textFill>
        </w:rPr>
      </w:pPr>
      <w:r>
        <w:rPr>
          <w:color w:val="000000" w:themeColor="text1"/>
          <w:szCs w:val="21"/>
          <w14:textFill>
            <w14:solidFill>
              <w14:schemeClr w14:val="tx1"/>
            </w14:solidFill>
          </w14:textFill>
        </w:rPr>
        <w:br w:type="page"/>
      </w:r>
      <w:bookmarkStart w:id="25" w:name="_Toc32628"/>
      <w:bookmarkStart w:id="26" w:name="_Toc29565"/>
      <w:r>
        <w:rPr>
          <w:color w:val="000000" w:themeColor="text1"/>
          <w:sz w:val="24"/>
          <w14:textFill>
            <w14:solidFill>
              <w14:schemeClr w14:val="tx1"/>
            </w14:solidFill>
          </w14:textFill>
        </w:rPr>
        <w:t>附件1</w:t>
      </w:r>
      <w:bookmarkEnd w:id="25"/>
      <w:bookmarkEnd w:id="26"/>
    </w:p>
    <w:p>
      <w:pPr>
        <w:pStyle w:val="2"/>
      </w:pPr>
    </w:p>
    <w:p>
      <w:pPr>
        <w:widowControl/>
        <w:jc w:val="center"/>
        <w:rPr>
          <w:sz w:val="32"/>
          <w:szCs w:val="32"/>
        </w:rPr>
      </w:pPr>
      <w:r>
        <w:rPr>
          <w:sz w:val="32"/>
          <w:szCs w:val="32"/>
        </w:rPr>
        <w:t xml:space="preserve">磋 商 </w:t>
      </w:r>
      <w:r>
        <w:rPr>
          <w:rFonts w:hint="eastAsia"/>
          <w:sz w:val="32"/>
          <w:szCs w:val="32"/>
        </w:rPr>
        <w:t>函</w:t>
      </w:r>
    </w:p>
    <w:p>
      <w:pPr>
        <w:spacing w:line="360" w:lineRule="auto"/>
        <w:ind w:left="-118" w:leftChars="-42"/>
        <w:rPr>
          <w:rFonts w:eastAsia="仿宋_GB2312"/>
          <w:sz w:val="24"/>
        </w:rPr>
      </w:pPr>
    </w:p>
    <w:p>
      <w:pPr>
        <w:pStyle w:val="47"/>
        <w:spacing w:line="440" w:lineRule="exact"/>
        <w:rPr>
          <w:rFonts w:ascii="宋体" w:hAnsi="宋体"/>
          <w:color w:val="000000"/>
          <w:sz w:val="24"/>
        </w:rPr>
      </w:pPr>
      <w:r>
        <w:rPr>
          <w:color w:val="FF0000"/>
          <w:sz w:val="24"/>
          <w:u w:val="single"/>
        </w:rPr>
        <w:t>致： (</w:t>
      </w:r>
      <w:r>
        <w:rPr>
          <w:rFonts w:hint="eastAsia"/>
          <w:color w:val="FF0000"/>
          <w:sz w:val="24"/>
          <w:u w:val="single"/>
        </w:rPr>
        <w:t>采购人、采购代理机构</w:t>
      </w:r>
      <w:r>
        <w:rPr>
          <w:color w:val="FF0000"/>
          <w:sz w:val="24"/>
          <w:u w:val="single"/>
        </w:rPr>
        <w:t>)</w:t>
      </w:r>
      <w:r>
        <w:rPr>
          <w:rFonts w:hint="eastAsia" w:ascii="宋体" w:hAnsi="宋体"/>
          <w:color w:val="000000"/>
          <w:sz w:val="24"/>
        </w:rPr>
        <w:t>：</w:t>
      </w:r>
    </w:p>
    <w:p>
      <w:pPr>
        <w:spacing w:line="360" w:lineRule="auto"/>
        <w:ind w:firstLine="480"/>
        <w:rPr>
          <w:sz w:val="24"/>
        </w:rPr>
      </w:pPr>
      <w:r>
        <w:rPr>
          <w:rFonts w:hint="eastAsia" w:ascii="宋体" w:hAnsi="宋体"/>
          <w:color w:val="000000"/>
          <w:sz w:val="24"/>
        </w:rPr>
        <w:t>1．我方已仔细研究了</w:t>
      </w:r>
      <w:r>
        <w:rPr>
          <w:rFonts w:hint="eastAsia" w:ascii="宋体" w:hAnsi="宋体"/>
          <w:color w:val="000000"/>
          <w:sz w:val="24"/>
          <w:u w:val="single"/>
        </w:rPr>
        <w:t xml:space="preserve">          </w:t>
      </w:r>
      <w:r>
        <w:rPr>
          <w:rFonts w:hint="eastAsia" w:ascii="宋体" w:hAnsi="宋体"/>
          <w:color w:val="000000"/>
          <w:sz w:val="24"/>
        </w:rPr>
        <w:t>（项目名称）竞争性磋商文件的全部内容，</w:t>
      </w:r>
      <w:r>
        <w:rPr>
          <w:sz w:val="24"/>
        </w:rPr>
        <w:t>经正式授权并</w:t>
      </w:r>
      <w:r>
        <w:rPr>
          <w:rFonts w:hint="eastAsia"/>
          <w:sz w:val="24"/>
        </w:rPr>
        <w:t>委托</w:t>
      </w:r>
      <w:r>
        <w:rPr>
          <w:sz w:val="24"/>
          <w:u w:val="single"/>
        </w:rPr>
        <w:t>签字代表</w:t>
      </w:r>
      <w:r>
        <w:rPr>
          <w:sz w:val="24"/>
        </w:rPr>
        <w:t>（姓名和职务）代表供应商</w:t>
      </w:r>
      <w:r>
        <w:rPr>
          <w:sz w:val="24"/>
          <w:u w:val="single"/>
        </w:rPr>
        <w:t>（供应商名称、地址）</w:t>
      </w:r>
      <w:r>
        <w:rPr>
          <w:sz w:val="24"/>
        </w:rPr>
        <w:t>提交下述响应文件正本一份、副本二份、电子文件一份。</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1）磋商函 (附件1)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2）磋商报价表(附件2) ；</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3）资格性符合性检查对照表(附件3)；</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4）技术响应、偏离情况说明表(附件4)；</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5）合同草案条款响应、偏离情况说明表(附件5)；</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6）法人（负责人）代表授权书（附件6）；</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7）法人或者其他组织的营业执照等证明文件，自然人的身份证明(附件7)；</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8）财务状况报告，依法缴纳税收和社会保障资金的相关材料(附件8)；</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9）具备履行合同所必需的设备和专业技术能力的证明材料(附件9)；</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10）参加政府采购活动前3年内在经营活动中没有重大违法记录的书面声明(附件10)；</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11）未被列入“信用中国”网站(www.creditchina. gov.cn)失信被执行人、税收违法黑名单、政府采购严重违法失信行为记录名单的网页打印件(附件11)。</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12）《中小企业声明函》、《残疾人福利性单位声明函》、属于监狱企业的证明文件等（如果有的话）(附件12)。</w:t>
      </w:r>
    </w:p>
    <w:p>
      <w:pPr>
        <w:spacing w:line="360" w:lineRule="exact"/>
        <w:ind w:left="420" w:hanging="420"/>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13）本文件要求提供的其他资格证明文件及资料。</w:t>
      </w:r>
    </w:p>
    <w:p>
      <w:pPr>
        <w:spacing w:line="360" w:lineRule="auto"/>
        <w:ind w:firstLine="480" w:firstLineChars="200"/>
        <w:rPr>
          <w:sz w:val="24"/>
        </w:rPr>
      </w:pPr>
      <w:r>
        <w:rPr>
          <w:sz w:val="24"/>
        </w:rPr>
        <w:t>在此，我方宣布同意如下：</w:t>
      </w:r>
    </w:p>
    <w:p>
      <w:pPr>
        <w:spacing w:line="360" w:lineRule="auto"/>
        <w:ind w:firstLine="480"/>
        <w:rPr>
          <w:sz w:val="24"/>
        </w:rPr>
      </w:pPr>
      <w:r>
        <w:rPr>
          <w:sz w:val="24"/>
        </w:rPr>
        <w:t>1. 将按磋商文件的规定履行合同责任和义务；</w:t>
      </w:r>
    </w:p>
    <w:p>
      <w:pPr>
        <w:spacing w:line="360" w:lineRule="auto"/>
        <w:ind w:left="840" w:hanging="360"/>
        <w:rPr>
          <w:sz w:val="24"/>
        </w:rPr>
      </w:pPr>
      <w:r>
        <w:rPr>
          <w:sz w:val="24"/>
        </w:rPr>
        <w:t>2. 已详细审查全部磋商文件，包括（编号、补遗书）（如果有的话）；我们完全理解并同意放弃对这方面有不明及误解的权力；</w:t>
      </w:r>
    </w:p>
    <w:p>
      <w:pPr>
        <w:spacing w:line="360" w:lineRule="auto"/>
        <w:ind w:firstLine="480"/>
        <w:rPr>
          <w:sz w:val="24"/>
        </w:rPr>
      </w:pPr>
      <w:r>
        <w:rPr>
          <w:sz w:val="24"/>
        </w:rPr>
        <w:t>3. 本响应文件有效期为自磋商之日起</w:t>
      </w:r>
      <w:r>
        <w:rPr>
          <w:rFonts w:hint="eastAsia"/>
          <w:sz w:val="24"/>
          <w:highlight w:val="yellow"/>
        </w:rPr>
        <w:t>90</w:t>
      </w:r>
      <w:r>
        <w:rPr>
          <w:sz w:val="24"/>
          <w:highlight w:val="yellow"/>
        </w:rPr>
        <w:t>日</w:t>
      </w:r>
      <w:r>
        <w:rPr>
          <w:sz w:val="24"/>
        </w:rPr>
        <w:t>历日；</w:t>
      </w:r>
    </w:p>
    <w:p>
      <w:pPr>
        <w:spacing w:line="360" w:lineRule="auto"/>
        <w:ind w:left="840" w:hanging="360"/>
        <w:rPr>
          <w:sz w:val="24"/>
        </w:rPr>
      </w:pPr>
      <w:r>
        <w:rPr>
          <w:sz w:val="24"/>
        </w:rPr>
        <w:t>4. 同意提供按照贵方可能要求的与其磋商有关的一切数据或资料；</w:t>
      </w:r>
    </w:p>
    <w:p>
      <w:pPr>
        <w:spacing w:line="360" w:lineRule="auto"/>
        <w:ind w:firstLine="480"/>
        <w:rPr>
          <w:sz w:val="24"/>
        </w:rPr>
      </w:pPr>
      <w:r>
        <w:rPr>
          <w:sz w:val="24"/>
        </w:rPr>
        <w:t>5. 与本磋商有关的一切正式往来信函请寄：</w:t>
      </w:r>
    </w:p>
    <w:p>
      <w:pPr>
        <w:pStyle w:val="47"/>
        <w:spacing w:line="440" w:lineRule="exact"/>
        <w:rPr>
          <w:bCs/>
          <w:color w:val="000000" w:themeColor="text1"/>
          <w:sz w:val="24"/>
          <w14:textFill>
            <w14:solidFill>
              <w14:schemeClr w14:val="tx1"/>
            </w14:solidFill>
          </w14:textFill>
        </w:rPr>
      </w:pPr>
    </w:p>
    <w:p>
      <w:pPr>
        <w:spacing w:line="480" w:lineRule="auto"/>
        <w:ind w:firstLine="840"/>
        <w:rPr>
          <w:sz w:val="24"/>
        </w:rPr>
      </w:pPr>
      <w:r>
        <w:rPr>
          <w:sz w:val="24"/>
        </w:rPr>
        <w:t>地址：</w:t>
      </w:r>
    </w:p>
    <w:p>
      <w:pPr>
        <w:spacing w:line="480" w:lineRule="auto"/>
        <w:ind w:firstLine="840"/>
        <w:rPr>
          <w:sz w:val="24"/>
        </w:rPr>
      </w:pPr>
      <w:r>
        <w:rPr>
          <w:sz w:val="24"/>
        </w:rPr>
        <w:t>电话/传真：</w:t>
      </w:r>
    </w:p>
    <w:p>
      <w:pPr>
        <w:spacing w:line="480" w:lineRule="auto"/>
        <w:ind w:firstLine="840"/>
        <w:rPr>
          <w:sz w:val="24"/>
        </w:rPr>
      </w:pPr>
      <w:r>
        <w:rPr>
          <w:sz w:val="24"/>
        </w:rPr>
        <w:t>电子信箱：</w:t>
      </w:r>
    </w:p>
    <w:p>
      <w:pPr>
        <w:spacing w:line="480" w:lineRule="auto"/>
        <w:ind w:firstLine="840"/>
        <w:rPr>
          <w:sz w:val="24"/>
        </w:rPr>
      </w:pPr>
      <w:r>
        <w:rPr>
          <w:sz w:val="24"/>
        </w:rPr>
        <w:t>供应商（授权）代表签字：</w:t>
      </w:r>
    </w:p>
    <w:p>
      <w:pPr>
        <w:spacing w:line="480" w:lineRule="auto"/>
        <w:ind w:firstLine="840"/>
        <w:rPr>
          <w:sz w:val="24"/>
        </w:rPr>
      </w:pPr>
      <w:r>
        <w:rPr>
          <w:sz w:val="24"/>
        </w:rPr>
        <w:t>供应商名称（公章）：</w:t>
      </w:r>
    </w:p>
    <w:p>
      <w:pPr>
        <w:spacing w:line="480" w:lineRule="auto"/>
        <w:ind w:firstLine="840"/>
        <w:rPr>
          <w:sz w:val="24"/>
        </w:rPr>
      </w:pPr>
      <w:r>
        <w:rPr>
          <w:sz w:val="24"/>
        </w:rPr>
        <w:t>日期：</w:t>
      </w:r>
    </w:p>
    <w:p>
      <w:pPr>
        <w:spacing w:before="156" w:after="156" w:line="360" w:lineRule="auto"/>
        <w:rPr>
          <w:sz w:val="32"/>
        </w:rPr>
      </w:pPr>
      <w:r>
        <w:rPr>
          <w:color w:val="000000" w:themeColor="text1"/>
          <w:sz w:val="24"/>
          <w:u w:val="single"/>
          <w14:textFill>
            <w14:solidFill>
              <w14:schemeClr w14:val="tx1"/>
            </w14:solidFill>
          </w14:textFill>
        </w:rPr>
        <w:br w:type="page"/>
      </w:r>
      <w:r>
        <w:rPr>
          <w:rFonts w:asciiTheme="majorEastAsia" w:hAnsiTheme="majorEastAsia" w:eastAsiaTheme="majorEastAsia"/>
          <w:color w:val="000000" w:themeColor="text1"/>
          <w:sz w:val="24"/>
          <w14:textFill>
            <w14:solidFill>
              <w14:schemeClr w14:val="tx1"/>
            </w14:solidFill>
          </w14:textFill>
        </w:rPr>
        <w:t>附件2</w:t>
      </w:r>
      <w:r>
        <w:rPr>
          <w:rFonts w:hint="eastAsia" w:asciiTheme="majorEastAsia" w:hAnsiTheme="majorEastAsia" w:eastAsiaTheme="majorEastAsia"/>
          <w:color w:val="000000" w:themeColor="text1"/>
          <w:sz w:val="24"/>
          <w14:textFill>
            <w14:solidFill>
              <w14:schemeClr w14:val="tx1"/>
            </w14:solidFill>
          </w14:textFill>
        </w:rPr>
        <w:t xml:space="preserve">                            </w:t>
      </w:r>
      <w:r>
        <w:rPr>
          <w:rFonts w:hint="eastAsia"/>
          <w:sz w:val="32"/>
        </w:rPr>
        <w:t>磋商</w:t>
      </w:r>
      <w:r>
        <w:rPr>
          <w:sz w:val="32"/>
        </w:rPr>
        <w:t>报价表</w:t>
      </w:r>
    </w:p>
    <w:p>
      <w:pPr>
        <w:jc w:val="left"/>
        <w:rPr>
          <w:sz w:val="20"/>
        </w:rPr>
      </w:pPr>
    </w:p>
    <w:p>
      <w:pPr>
        <w:spacing w:line="360" w:lineRule="auto"/>
        <w:rPr>
          <w:sz w:val="24"/>
          <w:u w:val="single"/>
        </w:rPr>
      </w:pPr>
      <w:r>
        <w:rPr>
          <w:sz w:val="24"/>
        </w:rPr>
        <w:t>项目编号（包号）：</w:t>
      </w:r>
    </w:p>
    <w:p>
      <w:pPr>
        <w:spacing w:line="360" w:lineRule="auto"/>
        <w:rPr>
          <w:sz w:val="24"/>
        </w:rPr>
      </w:pPr>
      <w:r>
        <w:rPr>
          <w:sz w:val="24"/>
        </w:rPr>
        <w:t>项目名称：</w:t>
      </w:r>
    </w:p>
    <w:tbl>
      <w:tblPr>
        <w:tblStyle w:val="29"/>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序号</w:t>
            </w:r>
          </w:p>
        </w:tc>
        <w:tc>
          <w:tcPr>
            <w:tcW w:w="1869" w:type="dxa"/>
            <w:vAlign w:val="center"/>
          </w:tcPr>
          <w:p>
            <w:pPr>
              <w:adjustRightInd w:val="0"/>
              <w:snapToGrid w:val="0"/>
              <w:spacing w:line="360" w:lineRule="auto"/>
              <w:ind w:left="-118" w:leftChars="-42"/>
              <w:jc w:val="center"/>
              <w:rPr>
                <w:sz w:val="24"/>
              </w:rPr>
            </w:pPr>
            <w:r>
              <w:rPr>
                <w:sz w:val="24"/>
              </w:rPr>
              <w:t>名称（</w:t>
            </w:r>
            <w:r>
              <w:rPr>
                <w:rFonts w:hint="eastAsia"/>
                <w:sz w:val="24"/>
              </w:rPr>
              <w:t>货物/</w:t>
            </w:r>
            <w:r>
              <w:rPr>
                <w:sz w:val="24"/>
              </w:rPr>
              <w:t>服务）</w:t>
            </w:r>
          </w:p>
        </w:tc>
        <w:tc>
          <w:tcPr>
            <w:tcW w:w="1237" w:type="dxa"/>
            <w:vAlign w:val="center"/>
          </w:tcPr>
          <w:p>
            <w:pPr>
              <w:adjustRightInd w:val="0"/>
              <w:snapToGrid w:val="0"/>
              <w:spacing w:line="360" w:lineRule="auto"/>
              <w:jc w:val="center"/>
              <w:rPr>
                <w:sz w:val="24"/>
              </w:rPr>
            </w:pPr>
            <w:r>
              <w:rPr>
                <w:sz w:val="24"/>
              </w:rPr>
              <w:t>规格型号</w:t>
            </w:r>
          </w:p>
        </w:tc>
        <w:tc>
          <w:tcPr>
            <w:tcW w:w="805" w:type="dxa"/>
            <w:vAlign w:val="center"/>
          </w:tcPr>
          <w:p>
            <w:pPr>
              <w:adjustRightInd w:val="0"/>
              <w:snapToGrid w:val="0"/>
              <w:spacing w:line="360" w:lineRule="auto"/>
              <w:jc w:val="center"/>
              <w:rPr>
                <w:sz w:val="24"/>
              </w:rPr>
            </w:pPr>
            <w:r>
              <w:rPr>
                <w:sz w:val="24"/>
              </w:rPr>
              <w:t>数量</w:t>
            </w:r>
          </w:p>
        </w:tc>
        <w:tc>
          <w:tcPr>
            <w:tcW w:w="1654" w:type="dxa"/>
            <w:vAlign w:val="center"/>
          </w:tcPr>
          <w:p>
            <w:pPr>
              <w:adjustRightInd w:val="0"/>
              <w:snapToGrid w:val="0"/>
              <w:spacing w:line="360" w:lineRule="auto"/>
              <w:jc w:val="center"/>
              <w:rPr>
                <w:sz w:val="24"/>
              </w:rPr>
            </w:pPr>
            <w:r>
              <w:rPr>
                <w:sz w:val="24"/>
              </w:rPr>
              <w:t>制造商名称</w:t>
            </w:r>
          </w:p>
        </w:tc>
        <w:tc>
          <w:tcPr>
            <w:tcW w:w="913" w:type="dxa"/>
            <w:vAlign w:val="center"/>
          </w:tcPr>
          <w:p>
            <w:pPr>
              <w:adjustRightInd w:val="0"/>
              <w:snapToGrid w:val="0"/>
              <w:spacing w:line="360" w:lineRule="auto"/>
              <w:jc w:val="center"/>
              <w:rPr>
                <w:sz w:val="24"/>
              </w:rPr>
            </w:pPr>
            <w:r>
              <w:rPr>
                <w:sz w:val="24"/>
              </w:rPr>
              <w:t>单价</w:t>
            </w:r>
          </w:p>
        </w:tc>
        <w:tc>
          <w:tcPr>
            <w:tcW w:w="1136" w:type="dxa"/>
            <w:vAlign w:val="center"/>
          </w:tcPr>
          <w:p>
            <w:pPr>
              <w:adjustRightInd w:val="0"/>
              <w:snapToGrid w:val="0"/>
              <w:spacing w:line="360" w:lineRule="auto"/>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spacing w:line="360" w:lineRule="auto"/>
              <w:ind w:left="-118" w:leftChars="-42"/>
              <w:jc w:val="center"/>
              <w:rPr>
                <w:sz w:val="24"/>
              </w:rPr>
            </w:pPr>
            <w:r>
              <w:rPr>
                <w:sz w:val="24"/>
              </w:rPr>
              <w:t>1</w:t>
            </w:r>
          </w:p>
        </w:tc>
        <w:tc>
          <w:tcPr>
            <w:tcW w:w="1869" w:type="dxa"/>
            <w:vAlign w:val="center"/>
          </w:tcPr>
          <w:p>
            <w:pPr>
              <w:adjustRightInd w:val="0"/>
              <w:snapToGrid w:val="0"/>
              <w:spacing w:line="360" w:lineRule="auto"/>
              <w:ind w:left="-118" w:leftChars="-42"/>
              <w:jc w:val="center"/>
              <w:rPr>
                <w:sz w:val="24"/>
              </w:rPr>
            </w:pP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spacing w:line="360" w:lineRule="auto"/>
              <w:ind w:left="-118" w:leftChars="-42"/>
              <w:jc w:val="center"/>
              <w:rPr>
                <w:sz w:val="24"/>
              </w:rPr>
            </w:pPr>
            <w:r>
              <w:rPr>
                <w:sz w:val="24"/>
              </w:rPr>
              <w:t>2</w:t>
            </w:r>
          </w:p>
        </w:tc>
        <w:tc>
          <w:tcPr>
            <w:tcW w:w="1869" w:type="dxa"/>
            <w:vAlign w:val="center"/>
          </w:tcPr>
          <w:p>
            <w:pPr>
              <w:adjustRightInd w:val="0"/>
              <w:snapToGrid w:val="0"/>
              <w:spacing w:line="360" w:lineRule="auto"/>
              <w:ind w:left="-118" w:leftChars="-42"/>
              <w:jc w:val="center"/>
              <w:rPr>
                <w:sz w:val="24"/>
              </w:rPr>
            </w:pPr>
            <w:r>
              <w:rPr>
                <w:sz w:val="24"/>
              </w:rPr>
              <w:t>…</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3</w:t>
            </w:r>
          </w:p>
        </w:tc>
        <w:tc>
          <w:tcPr>
            <w:tcW w:w="1869" w:type="dxa"/>
            <w:vAlign w:val="center"/>
          </w:tcPr>
          <w:p>
            <w:pPr>
              <w:adjustRightInd w:val="0"/>
              <w:snapToGrid w:val="0"/>
              <w:spacing w:line="360" w:lineRule="auto"/>
              <w:ind w:left="-118" w:leftChars="-42"/>
              <w:jc w:val="center"/>
              <w:rPr>
                <w:sz w:val="24"/>
              </w:rPr>
            </w:pP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4</w:t>
            </w:r>
          </w:p>
        </w:tc>
        <w:tc>
          <w:tcPr>
            <w:tcW w:w="1869" w:type="dxa"/>
            <w:vAlign w:val="center"/>
          </w:tcPr>
          <w:p>
            <w:pPr>
              <w:adjustRightInd w:val="0"/>
              <w:snapToGrid w:val="0"/>
              <w:spacing w:line="360" w:lineRule="auto"/>
              <w:ind w:left="-118" w:leftChars="-42"/>
              <w:jc w:val="center"/>
              <w:rPr>
                <w:sz w:val="24"/>
              </w:rPr>
            </w:pP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sz w:val="24"/>
              </w:rPr>
              <w:t>5</w:t>
            </w:r>
          </w:p>
        </w:tc>
        <w:tc>
          <w:tcPr>
            <w:tcW w:w="1869" w:type="dxa"/>
            <w:vAlign w:val="center"/>
          </w:tcPr>
          <w:p>
            <w:pPr>
              <w:adjustRightInd w:val="0"/>
              <w:snapToGrid w:val="0"/>
              <w:spacing w:line="360" w:lineRule="auto"/>
              <w:ind w:left="-118" w:leftChars="-42"/>
              <w:jc w:val="center"/>
              <w:rPr>
                <w:sz w:val="24"/>
              </w:rPr>
            </w:pPr>
            <w:r>
              <w:rPr>
                <w:sz w:val="24"/>
              </w:rPr>
              <w:t>…</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rFonts w:hint="eastAsia"/>
                <w:sz w:val="24"/>
              </w:rPr>
              <w:t>6</w:t>
            </w:r>
          </w:p>
        </w:tc>
        <w:tc>
          <w:tcPr>
            <w:tcW w:w="1869" w:type="dxa"/>
            <w:vAlign w:val="center"/>
          </w:tcPr>
          <w:p>
            <w:pPr>
              <w:adjustRightInd w:val="0"/>
              <w:snapToGrid w:val="0"/>
              <w:spacing w:line="360" w:lineRule="auto"/>
              <w:ind w:left="-118" w:leftChars="-42"/>
              <w:jc w:val="center"/>
              <w:rPr>
                <w:sz w:val="24"/>
              </w:rPr>
            </w:pPr>
            <w:r>
              <w:rPr>
                <w:sz w:val="24"/>
              </w:rPr>
              <w:t>其它</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spacing w:line="360" w:lineRule="auto"/>
              <w:ind w:left="-118" w:leftChars="-42"/>
              <w:jc w:val="center"/>
              <w:rPr>
                <w:sz w:val="24"/>
              </w:rPr>
            </w:pPr>
            <w:r>
              <w:rPr>
                <w:rFonts w:hint="eastAsia"/>
                <w:sz w:val="24"/>
              </w:rPr>
              <w:t>7</w:t>
            </w:r>
          </w:p>
        </w:tc>
        <w:tc>
          <w:tcPr>
            <w:tcW w:w="1869" w:type="dxa"/>
            <w:vAlign w:val="center"/>
          </w:tcPr>
          <w:p>
            <w:pPr>
              <w:adjustRightInd w:val="0"/>
              <w:snapToGrid w:val="0"/>
              <w:spacing w:line="360" w:lineRule="auto"/>
              <w:ind w:left="-118" w:leftChars="-42"/>
              <w:jc w:val="center"/>
              <w:rPr>
                <w:sz w:val="24"/>
              </w:rPr>
            </w:pPr>
            <w:r>
              <w:rPr>
                <w:sz w:val="24"/>
              </w:rPr>
              <w:t>…</w:t>
            </w:r>
          </w:p>
        </w:tc>
        <w:tc>
          <w:tcPr>
            <w:tcW w:w="1237" w:type="dxa"/>
            <w:vAlign w:val="center"/>
          </w:tcPr>
          <w:p>
            <w:pPr>
              <w:adjustRightInd w:val="0"/>
              <w:snapToGrid w:val="0"/>
              <w:spacing w:line="360" w:lineRule="auto"/>
              <w:jc w:val="center"/>
              <w:rPr>
                <w:sz w:val="24"/>
              </w:rPr>
            </w:pPr>
          </w:p>
        </w:tc>
        <w:tc>
          <w:tcPr>
            <w:tcW w:w="805" w:type="dxa"/>
            <w:vAlign w:val="center"/>
          </w:tcPr>
          <w:p>
            <w:pPr>
              <w:adjustRightInd w:val="0"/>
              <w:snapToGrid w:val="0"/>
              <w:spacing w:line="360" w:lineRule="auto"/>
              <w:jc w:val="center"/>
              <w:rPr>
                <w:sz w:val="24"/>
              </w:rPr>
            </w:pPr>
          </w:p>
        </w:tc>
        <w:tc>
          <w:tcPr>
            <w:tcW w:w="1654" w:type="dxa"/>
            <w:vAlign w:val="center"/>
          </w:tcPr>
          <w:p>
            <w:pPr>
              <w:adjustRightInd w:val="0"/>
              <w:snapToGrid w:val="0"/>
              <w:spacing w:line="360" w:lineRule="auto"/>
              <w:jc w:val="center"/>
              <w:rPr>
                <w:sz w:val="24"/>
              </w:rPr>
            </w:pPr>
          </w:p>
        </w:tc>
        <w:tc>
          <w:tcPr>
            <w:tcW w:w="913" w:type="dxa"/>
            <w:vAlign w:val="center"/>
          </w:tcPr>
          <w:p>
            <w:pPr>
              <w:adjustRightInd w:val="0"/>
              <w:snapToGrid w:val="0"/>
              <w:spacing w:line="360" w:lineRule="auto"/>
              <w:jc w:val="center"/>
              <w:rPr>
                <w:sz w:val="24"/>
              </w:rPr>
            </w:pPr>
          </w:p>
        </w:tc>
        <w:tc>
          <w:tcPr>
            <w:tcW w:w="1136" w:type="dxa"/>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spacing w:line="360" w:lineRule="auto"/>
              <w:jc w:val="center"/>
              <w:rPr>
                <w:sz w:val="24"/>
              </w:rPr>
            </w:pPr>
            <w:r>
              <w:rPr>
                <w:sz w:val="24"/>
              </w:rPr>
              <w:t>总计</w:t>
            </w:r>
          </w:p>
        </w:tc>
        <w:tc>
          <w:tcPr>
            <w:tcW w:w="2049" w:type="dxa"/>
            <w:gridSpan w:val="2"/>
            <w:vAlign w:val="center"/>
          </w:tcPr>
          <w:p>
            <w:pPr>
              <w:adjustRightInd w:val="0"/>
              <w:snapToGrid w:val="0"/>
              <w:spacing w:line="360" w:lineRule="auto"/>
              <w:jc w:val="center"/>
              <w:rPr>
                <w:sz w:val="24"/>
              </w:rPr>
            </w:pPr>
          </w:p>
        </w:tc>
      </w:tr>
    </w:tbl>
    <w:p>
      <w:pPr>
        <w:spacing w:line="300" w:lineRule="auto"/>
        <w:jc w:val="left"/>
        <w:rPr>
          <w:sz w:val="24"/>
        </w:rPr>
      </w:pPr>
    </w:p>
    <w:p>
      <w:pPr>
        <w:spacing w:line="360" w:lineRule="auto"/>
        <w:jc w:val="left"/>
        <w:rPr>
          <w:rFonts w:ascii="宋体" w:hAnsi="宋体"/>
          <w:sz w:val="24"/>
        </w:rPr>
      </w:pPr>
      <w:r>
        <w:rPr>
          <w:rFonts w:hint="eastAsia" w:ascii="宋体" w:hAnsi="宋体"/>
          <w:sz w:val="24"/>
        </w:rPr>
        <w:t>说明：1．所有价格均用人民币表示，单位为万元。</w:t>
      </w:r>
    </w:p>
    <w:p>
      <w:pPr>
        <w:spacing w:line="360" w:lineRule="auto"/>
        <w:ind w:firstLine="720" w:firstLineChars="300"/>
        <w:jc w:val="left"/>
        <w:rPr>
          <w:rFonts w:ascii="宋体" w:hAnsi="宋体"/>
          <w:sz w:val="24"/>
        </w:rPr>
      </w:pPr>
      <w:r>
        <w:rPr>
          <w:rFonts w:hint="eastAsia" w:ascii="宋体" w:hAnsi="宋体"/>
          <w:sz w:val="24"/>
        </w:rPr>
        <w:t>2．价格应按照招标文件第二章“供应商须知”中第12条的要求进行报价。</w:t>
      </w:r>
    </w:p>
    <w:p>
      <w:pPr>
        <w:spacing w:line="360" w:lineRule="auto"/>
        <w:ind w:firstLine="720" w:firstLineChars="300"/>
        <w:jc w:val="left"/>
        <w:rPr>
          <w:rFonts w:ascii="宋体" w:hAnsi="宋体"/>
          <w:b/>
          <w:sz w:val="24"/>
        </w:rPr>
      </w:pPr>
      <w:r>
        <w:rPr>
          <w:rFonts w:hint="eastAsia" w:ascii="宋体" w:hAnsi="宋体"/>
          <w:sz w:val="24"/>
        </w:rPr>
        <w:t>3．为方便开标时唱标，供应商应另附《磋商报价表》及U盘</w:t>
      </w:r>
      <w:r>
        <w:rPr>
          <w:rFonts w:hint="eastAsia" w:ascii="宋体" w:hAnsi="宋体"/>
          <w:spacing w:val="-6"/>
          <w:kern w:val="0"/>
          <w:sz w:val="24"/>
        </w:rPr>
        <w:t>装入一个信封，单独密封提交</w:t>
      </w:r>
      <w:r>
        <w:rPr>
          <w:rFonts w:hint="eastAsia" w:ascii="宋体" w:hAnsi="宋体"/>
          <w:sz w:val="24"/>
        </w:rPr>
        <w:t>，并在信封上标明“磋商报价表及U盘”字样。未单独提交或单独提交的上述资料未按照招标文件规定的格式填写完整并签字、盖章</w:t>
      </w:r>
      <w:r>
        <w:rPr>
          <w:rFonts w:hint="eastAsia" w:ascii="宋体" w:hAnsi="宋体"/>
          <w:sz w:val="24"/>
          <w:szCs w:val="20"/>
          <w:lang w:val="zh-CN"/>
        </w:rPr>
        <w:t>的采购代理机构</w:t>
      </w:r>
      <w:r>
        <w:rPr>
          <w:rFonts w:hint="eastAsia" w:ascii="宋体" w:hAnsi="宋体"/>
          <w:b/>
          <w:sz w:val="24"/>
          <w:szCs w:val="20"/>
          <w:lang w:val="zh-CN"/>
        </w:rPr>
        <w:t>拒绝</w:t>
      </w:r>
      <w:r>
        <w:rPr>
          <w:rFonts w:hint="eastAsia" w:ascii="宋体" w:hAnsi="宋体"/>
          <w:sz w:val="24"/>
          <w:szCs w:val="20"/>
          <w:lang w:val="zh-CN"/>
        </w:rPr>
        <w:t>其投标。</w:t>
      </w:r>
    </w:p>
    <w:p>
      <w:pPr>
        <w:spacing w:line="360" w:lineRule="auto"/>
        <w:ind w:firstLine="720" w:firstLineChars="300"/>
        <w:jc w:val="left"/>
        <w:rPr>
          <w:rFonts w:ascii="宋体" w:hAnsi="宋体"/>
          <w:sz w:val="24"/>
        </w:rPr>
      </w:pPr>
      <w:r>
        <w:rPr>
          <w:rFonts w:hint="eastAsia" w:ascii="宋体" w:hAnsi="宋体"/>
          <w:sz w:val="24"/>
        </w:rPr>
        <w:t>4. 本表应按要求由供应商法人授权代表签字，并加盖投标单位公章，否则将被视为非响应性投标，将按照</w:t>
      </w:r>
      <w:r>
        <w:rPr>
          <w:rFonts w:hint="eastAsia" w:ascii="宋体" w:hAnsi="宋体"/>
          <w:b/>
          <w:sz w:val="24"/>
        </w:rPr>
        <w:t>无效投标处理</w:t>
      </w:r>
      <w:r>
        <w:rPr>
          <w:rFonts w:hint="eastAsia" w:ascii="宋体" w:hAnsi="宋体"/>
          <w:sz w:val="24"/>
        </w:rPr>
        <w:t>。</w:t>
      </w:r>
    </w:p>
    <w:p>
      <w:pPr>
        <w:pStyle w:val="44"/>
        <w:ind w:firstLine="480"/>
      </w:pPr>
      <w:r>
        <w:rPr>
          <w:rFonts w:hint="eastAsia" w:hAnsi="宋体"/>
          <w:szCs w:val="24"/>
        </w:rPr>
        <w:t xml:space="preserve">  5.本表仅作为磋商小组了解报价组成情况，不作为最终成交价。</w:t>
      </w:r>
    </w:p>
    <w:p>
      <w:pPr>
        <w:spacing w:line="480" w:lineRule="auto"/>
        <w:ind w:firstLine="240" w:firstLineChars="100"/>
        <w:jc w:val="left"/>
        <w:rPr>
          <w:sz w:val="24"/>
        </w:rPr>
      </w:pPr>
      <w:r>
        <w:rPr>
          <w:rFonts w:hint="eastAsia"/>
          <w:sz w:val="24"/>
        </w:rPr>
        <w:t>磋商</w:t>
      </w:r>
      <w:r>
        <w:rPr>
          <w:sz w:val="24"/>
        </w:rPr>
        <w:t>供应商（盖章）：</w:t>
      </w:r>
      <w:r>
        <w:rPr>
          <w:sz w:val="24"/>
          <w:u w:val="single"/>
        </w:rPr>
        <w:t xml:space="preserve">                          </w:t>
      </w:r>
    </w:p>
    <w:p>
      <w:pPr>
        <w:spacing w:line="480" w:lineRule="auto"/>
        <w:ind w:firstLine="240" w:firstLineChars="100"/>
        <w:jc w:val="left"/>
        <w:rPr>
          <w:sz w:val="24"/>
        </w:rPr>
      </w:pPr>
      <w:r>
        <w:rPr>
          <w:sz w:val="24"/>
        </w:rPr>
        <w:t>法定代表人或其委托代理人（签字）：</w:t>
      </w:r>
      <w:r>
        <w:rPr>
          <w:sz w:val="24"/>
          <w:u w:val="single"/>
        </w:rPr>
        <w:t xml:space="preserve">            </w:t>
      </w:r>
    </w:p>
    <w:p>
      <w:pPr>
        <w:spacing w:line="480" w:lineRule="auto"/>
        <w:ind w:firstLine="240" w:firstLineChars="100"/>
        <w:jc w:val="left"/>
        <w:rPr>
          <w:sz w:val="24"/>
        </w:rPr>
      </w:pPr>
      <w:r>
        <w:rPr>
          <w:sz w:val="24"/>
        </w:rPr>
        <w:t>日      期：</w:t>
      </w:r>
      <w:r>
        <w:rPr>
          <w:sz w:val="24"/>
          <w:u w:val="single"/>
        </w:rPr>
        <w:t xml:space="preserve">                                 </w:t>
      </w:r>
    </w:p>
    <w:p>
      <w:pPr>
        <w:spacing w:before="156" w:after="156" w:line="360" w:lineRule="auto"/>
        <w:rPr>
          <w:sz w:val="32"/>
        </w:rPr>
      </w:pPr>
      <w:r>
        <w:br w:type="page"/>
      </w:r>
    </w:p>
    <w:p>
      <w:pPr>
        <w:jc w:val="left"/>
        <w:rPr>
          <w:sz w:val="20"/>
        </w:rPr>
      </w:pPr>
    </w:p>
    <w:p>
      <w:pPr>
        <w:spacing w:line="480" w:lineRule="auto"/>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3</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30"/>
        <w:tblW w:w="8918"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3267"/>
        <w:gridCol w:w="1920"/>
        <w:gridCol w:w="172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序号</w:t>
            </w:r>
          </w:p>
        </w:tc>
        <w:tc>
          <w:tcPr>
            <w:tcW w:w="3267"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92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725"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200" w:type="dxa"/>
            <w:vAlign w:val="center"/>
          </w:tcPr>
          <w:p>
            <w:pPr>
              <w:ind w:left="-36"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1</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ind w:left="-35"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2</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3</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4</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5</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6</w:t>
            </w:r>
          </w:p>
        </w:tc>
        <w:tc>
          <w:tcPr>
            <w:tcW w:w="3267" w:type="dxa"/>
          </w:tcPr>
          <w:p>
            <w:pPr>
              <w:rPr>
                <w:rFonts w:ascii="Calibri" w:hAnsi="Calibri"/>
                <w:kern w:val="0"/>
                <w:sz w:val="21"/>
                <w:szCs w:val="21"/>
              </w:rPr>
            </w:pPr>
          </w:p>
        </w:tc>
        <w:tc>
          <w:tcPr>
            <w:tcW w:w="1920" w:type="dxa"/>
          </w:tcPr>
          <w:p>
            <w:pPr>
              <w:jc w:val="left"/>
              <w:rPr>
                <w:rFonts w:ascii="Calibri" w:hAnsi="Calibri"/>
                <w:kern w:val="0"/>
                <w:sz w:val="21"/>
                <w:szCs w:val="21"/>
              </w:rPr>
            </w:pPr>
          </w:p>
        </w:tc>
        <w:tc>
          <w:tcPr>
            <w:tcW w:w="1725" w:type="dxa"/>
          </w:tcPr>
          <w:p>
            <w:pPr>
              <w:jc w:val="left"/>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7</w:t>
            </w:r>
          </w:p>
        </w:tc>
        <w:tc>
          <w:tcPr>
            <w:tcW w:w="3267" w:type="dxa"/>
          </w:tcPr>
          <w:p>
            <w:pPr>
              <w:rPr>
                <w:rFonts w:ascii="Calibri" w:hAnsi="Calibri"/>
                <w:kern w:val="0"/>
                <w:sz w:val="21"/>
                <w:szCs w:val="21"/>
              </w:rPr>
            </w:pPr>
          </w:p>
        </w:tc>
        <w:tc>
          <w:tcPr>
            <w:tcW w:w="1920" w:type="dxa"/>
          </w:tcPr>
          <w:p>
            <w:pPr>
              <w:jc w:val="left"/>
              <w:rPr>
                <w:rFonts w:ascii="Calibri" w:hAnsi="Calibri"/>
                <w:kern w:val="0"/>
                <w:sz w:val="21"/>
                <w:szCs w:val="21"/>
              </w:rPr>
            </w:pPr>
          </w:p>
        </w:tc>
        <w:tc>
          <w:tcPr>
            <w:tcW w:w="1725" w:type="dxa"/>
          </w:tcPr>
          <w:p>
            <w:pPr>
              <w:jc w:val="left"/>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8</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hint="eastAsia" w:ascii="Calibri" w:hAnsi="Calibri"/>
                <w:kern w:val="0"/>
                <w:sz w:val="21"/>
                <w:szCs w:val="21"/>
              </w:rPr>
              <w:t>9</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806" w:type="dxa"/>
            <w:vAlign w:val="center"/>
          </w:tcPr>
          <w:p>
            <w:pPr>
              <w:jc w:val="center"/>
              <w:rPr>
                <w:rFonts w:ascii="Calibri" w:hAnsi="Calibri"/>
                <w:kern w:val="0"/>
                <w:sz w:val="21"/>
                <w:szCs w:val="21"/>
              </w:rPr>
            </w:pPr>
            <w:r>
              <w:rPr>
                <w:rFonts w:ascii="Calibri" w:hAnsi="Calibri"/>
                <w:kern w:val="0"/>
                <w:sz w:val="21"/>
                <w:szCs w:val="21"/>
              </w:rPr>
              <w:t>…</w:t>
            </w:r>
          </w:p>
        </w:tc>
        <w:tc>
          <w:tcPr>
            <w:tcW w:w="3267" w:type="dxa"/>
          </w:tcPr>
          <w:p>
            <w:pPr>
              <w:rPr>
                <w:rFonts w:ascii="Calibri" w:hAnsi="Calibri"/>
                <w:kern w:val="0"/>
                <w:sz w:val="21"/>
                <w:szCs w:val="21"/>
              </w:rPr>
            </w:pP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4073"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920" w:type="dxa"/>
          </w:tcPr>
          <w:p>
            <w:pPr>
              <w:jc w:val="center"/>
              <w:rPr>
                <w:rFonts w:ascii="Calibri" w:hAnsi="Calibri"/>
                <w:kern w:val="0"/>
                <w:sz w:val="21"/>
                <w:szCs w:val="21"/>
              </w:rPr>
            </w:pPr>
          </w:p>
        </w:tc>
        <w:tc>
          <w:tcPr>
            <w:tcW w:w="1725" w:type="dxa"/>
          </w:tcPr>
          <w:p>
            <w:pPr>
              <w:jc w:val="center"/>
              <w:rPr>
                <w:rFonts w:ascii="Calibri" w:hAnsi="Calibri"/>
                <w:kern w:val="0"/>
                <w:sz w:val="21"/>
                <w:szCs w:val="21"/>
              </w:rPr>
            </w:pPr>
          </w:p>
        </w:tc>
        <w:tc>
          <w:tcPr>
            <w:tcW w:w="1200" w:type="dxa"/>
            <w:vAlign w:val="center"/>
          </w:tcPr>
          <w:p>
            <w:pPr>
              <w:jc w:val="center"/>
              <w:rPr>
                <w:rFonts w:ascii="Calibri" w:hAnsi="Calibri"/>
                <w:kern w:val="0"/>
                <w:sz w:val="21"/>
                <w:szCs w:val="21"/>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磋商</w:t>
      </w:r>
      <w:r>
        <w:rPr>
          <w:sz w:val="24"/>
        </w:rPr>
        <w:t>文件的要求，逐条说明所提供</w:t>
      </w:r>
      <w:r>
        <w:rPr>
          <w:rFonts w:hint="eastAsia"/>
          <w:sz w:val="24"/>
        </w:rPr>
        <w:t>资格证明文件</w:t>
      </w:r>
      <w:r>
        <w:rPr>
          <w:sz w:val="24"/>
        </w:rPr>
        <w:t>已对</w:t>
      </w:r>
      <w:r>
        <w:rPr>
          <w:rFonts w:hint="eastAsia"/>
          <w:sz w:val="24"/>
        </w:rPr>
        <w:t>磋商</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磋商</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80" w:lineRule="auto"/>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附件4</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技术响应、偏离情况说明表</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项目编号</w:t>
      </w:r>
      <w:r>
        <w:rPr>
          <w:rFonts w:hint="eastAsia"/>
          <w:sz w:val="24"/>
        </w:rPr>
        <w:t>（包号）</w:t>
      </w:r>
      <w:r>
        <w:rPr>
          <w:bCs/>
          <w:color w:val="000000" w:themeColor="text1"/>
          <w:sz w:val="24"/>
          <w14:textFill>
            <w14:solidFill>
              <w14:schemeClr w14:val="tx1"/>
            </w14:solidFill>
          </w14:textFill>
        </w:rPr>
        <w:t>：</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项目名称：</w:t>
      </w:r>
    </w:p>
    <w:tbl>
      <w:tblPr>
        <w:tblStyle w:val="29"/>
        <w:tblW w:w="8948" w:type="dxa"/>
        <w:tblInd w:w="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248"/>
        <w:gridCol w:w="2625"/>
        <w:gridCol w:w="1478"/>
        <w:gridCol w:w="1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序号</w:t>
            </w:r>
          </w:p>
        </w:tc>
        <w:tc>
          <w:tcPr>
            <w:tcW w:w="2248" w:type="dxa"/>
            <w:vAlign w:val="center"/>
          </w:tcPr>
          <w:p>
            <w:pPr>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磋商</w:t>
            </w:r>
            <w:r>
              <w:rPr>
                <w:bCs/>
                <w:color w:val="000000" w:themeColor="text1"/>
                <w:sz w:val="24"/>
                <w14:textFill>
                  <w14:solidFill>
                    <w14:schemeClr w14:val="tx1"/>
                  </w14:solidFill>
                </w14:textFill>
              </w:rPr>
              <w:t>文件要求部分</w:t>
            </w:r>
          </w:p>
        </w:tc>
        <w:tc>
          <w:tcPr>
            <w:tcW w:w="2625" w:type="dxa"/>
            <w:vAlign w:val="center"/>
          </w:tcPr>
          <w:p>
            <w:pPr>
              <w:ind w:leftChars="-38" w:right="-106" w:rightChars="-38" w:hanging="105" w:hangingChars="44"/>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响应文件的响应部分</w:t>
            </w:r>
          </w:p>
        </w:tc>
        <w:tc>
          <w:tcPr>
            <w:tcW w:w="1478"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偏离说明</w:t>
            </w:r>
          </w:p>
        </w:tc>
        <w:tc>
          <w:tcPr>
            <w:tcW w:w="1847"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1</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2</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3</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4</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5</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6</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7</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50" w:type="dxa"/>
            <w:vAlign w:val="center"/>
          </w:tcPr>
          <w:p>
            <w:pPr>
              <w:jc w:val="cente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w:t>
            </w:r>
          </w:p>
        </w:tc>
        <w:tc>
          <w:tcPr>
            <w:tcW w:w="2248" w:type="dxa"/>
            <w:vAlign w:val="center"/>
          </w:tcPr>
          <w:p>
            <w:pPr>
              <w:rPr>
                <w:bCs/>
                <w:color w:val="000000" w:themeColor="text1"/>
                <w:sz w:val="24"/>
                <w14:textFill>
                  <w14:solidFill>
                    <w14:schemeClr w14:val="tx1"/>
                  </w14:solidFill>
                </w14:textFill>
              </w:rPr>
            </w:pPr>
          </w:p>
        </w:tc>
        <w:tc>
          <w:tcPr>
            <w:tcW w:w="2625" w:type="dxa"/>
            <w:vAlign w:val="center"/>
          </w:tcPr>
          <w:p>
            <w:pPr>
              <w:rPr>
                <w:bCs/>
                <w:color w:val="000000" w:themeColor="text1"/>
                <w:sz w:val="24"/>
                <w14:textFill>
                  <w14:solidFill>
                    <w14:schemeClr w14:val="tx1"/>
                  </w14:solidFill>
                </w14:textFill>
              </w:rPr>
            </w:pPr>
          </w:p>
        </w:tc>
        <w:tc>
          <w:tcPr>
            <w:tcW w:w="1478" w:type="dxa"/>
            <w:vAlign w:val="center"/>
          </w:tcPr>
          <w:p>
            <w:pPr>
              <w:rPr>
                <w:bCs/>
                <w:color w:val="000000" w:themeColor="text1"/>
                <w:sz w:val="24"/>
                <w14:textFill>
                  <w14:solidFill>
                    <w14:schemeClr w14:val="tx1"/>
                  </w14:solidFill>
                </w14:textFill>
              </w:rPr>
            </w:pPr>
          </w:p>
        </w:tc>
        <w:tc>
          <w:tcPr>
            <w:tcW w:w="1847" w:type="dxa"/>
            <w:vAlign w:val="center"/>
          </w:tcPr>
          <w:p>
            <w:pPr>
              <w:jc w:val="center"/>
              <w:rPr>
                <w:bCs/>
                <w:color w:val="000000" w:themeColor="text1"/>
                <w:sz w:val="24"/>
                <w14:textFill>
                  <w14:solidFill>
                    <w14:schemeClr w14:val="tx1"/>
                  </w14:solidFill>
                </w14:textFill>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磋商</w:t>
      </w:r>
      <w:r>
        <w:rPr>
          <w:sz w:val="24"/>
        </w:rPr>
        <w:t>文件的要求，逐条说明所提供</w:t>
      </w:r>
      <w:r>
        <w:rPr>
          <w:rFonts w:hint="eastAsia"/>
          <w:sz w:val="24"/>
        </w:rPr>
        <w:t>技术文件</w:t>
      </w:r>
      <w:r>
        <w:rPr>
          <w:sz w:val="24"/>
        </w:rPr>
        <w:t>已对</w:t>
      </w:r>
      <w:r>
        <w:rPr>
          <w:rFonts w:hint="eastAsia"/>
          <w:sz w:val="24"/>
        </w:rPr>
        <w:t>磋商</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磋商</w:t>
      </w:r>
      <w:r>
        <w:rPr>
          <w:sz w:val="24"/>
        </w:rPr>
        <w:t>文件要求，将导致响应文件无效。</w:t>
      </w:r>
    </w:p>
    <w:p>
      <w:pPr>
        <w:rPr>
          <w:bCs/>
          <w:color w:val="000000" w:themeColor="text1"/>
          <w:szCs w:val="28"/>
          <w14:textFill>
            <w14:solidFill>
              <w14:schemeClr w14:val="tx1"/>
            </w14:solidFill>
          </w14:textFill>
        </w:rPr>
      </w:pP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pPr>
        <w:pStyle w:val="1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p>
    <w:p>
      <w:pPr>
        <w:spacing w:line="480" w:lineRule="auto"/>
        <w:rPr>
          <w:color w:val="000000" w:themeColor="text1"/>
          <w:sz w:val="24"/>
          <w:u w:val="single"/>
          <w14:textFill>
            <w14:solidFill>
              <w14:schemeClr w14:val="tx1"/>
            </w14:solidFill>
          </w14:textFill>
        </w:rPr>
      </w:pPr>
      <w:r>
        <w:rPr>
          <w:color w:val="000000"/>
          <w:sz w:val="24"/>
        </w:rPr>
        <w:t>时间：</w:t>
      </w:r>
    </w:p>
    <w:p>
      <w:pPr>
        <w:outlineLvl w:val="0"/>
        <w:rPr>
          <w:bCs/>
          <w:color w:val="000000" w:themeColor="text1"/>
          <w:sz w:val="24"/>
          <w14:textFill>
            <w14:solidFill>
              <w14:schemeClr w14:val="tx1"/>
            </w14:solidFill>
          </w14:textFill>
        </w:rPr>
      </w:pPr>
      <w:r>
        <w:rPr>
          <w:bCs/>
          <w:color w:val="000000" w:themeColor="text1"/>
          <w:szCs w:val="28"/>
          <w14:textFill>
            <w14:solidFill>
              <w14:schemeClr w14:val="tx1"/>
            </w14:solidFill>
          </w14:textFill>
        </w:rPr>
        <w:br w:type="page"/>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5</w:t>
      </w:r>
    </w:p>
    <w:p>
      <w:pPr>
        <w:jc w:val="center"/>
        <w:rPr>
          <w:bCs/>
          <w:color w:val="000000" w:themeColor="text1"/>
          <w:sz w:val="32"/>
          <w:szCs w:val="32"/>
          <w14:textFill>
            <w14:solidFill>
              <w14:schemeClr w14:val="tx1"/>
            </w14:solidFill>
          </w14:textFill>
        </w:rPr>
      </w:pPr>
      <w:r>
        <w:rPr>
          <w:bCs/>
          <w:color w:val="000000" w:themeColor="text1"/>
          <w:sz w:val="32"/>
          <w:szCs w:val="32"/>
          <w14:textFill>
            <w14:solidFill>
              <w14:schemeClr w14:val="tx1"/>
            </w14:solidFill>
          </w14:textFill>
        </w:rPr>
        <w:t>法人</w:t>
      </w:r>
      <w:r>
        <w:rPr>
          <w:rFonts w:hint="eastAsia"/>
          <w:bCs/>
          <w:color w:val="000000" w:themeColor="text1"/>
          <w:sz w:val="32"/>
          <w:szCs w:val="32"/>
          <w14:textFill>
            <w14:solidFill>
              <w14:schemeClr w14:val="tx1"/>
            </w14:solidFill>
          </w14:textFill>
        </w:rPr>
        <w:t>（负责人）</w:t>
      </w:r>
      <w:r>
        <w:rPr>
          <w:bCs/>
          <w:color w:val="000000" w:themeColor="text1"/>
          <w:sz w:val="32"/>
          <w:szCs w:val="32"/>
          <w14:textFill>
            <w14:solidFill>
              <w14:schemeClr w14:val="tx1"/>
            </w14:solidFill>
          </w14:textFill>
        </w:rPr>
        <w:t>代表授权书</w:t>
      </w: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sz w:val="24"/>
        </w:rPr>
      </w:pPr>
      <w:r>
        <w:rPr>
          <w:rFonts w:hint="eastAsia"/>
          <w:bCs/>
          <w:sz w:val="24"/>
        </w:rPr>
        <w:t>（采购人、采购代理公司名称）</w:t>
      </w:r>
      <w:r>
        <w:rPr>
          <w:bCs/>
          <w:sz w:val="24"/>
        </w:rPr>
        <w:t>：</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u w:val="single"/>
          <w14:textFill>
            <w14:solidFill>
              <w14:schemeClr w14:val="tx1"/>
            </w14:solidFill>
          </w14:textFill>
        </w:rPr>
        <w:t>（</w:t>
      </w:r>
      <w:r>
        <w:rPr>
          <w:rFonts w:hint="eastAsia"/>
          <w:bCs/>
          <w:color w:val="000000" w:themeColor="text1"/>
          <w:sz w:val="24"/>
          <w:u w:val="single"/>
          <w14:textFill>
            <w14:solidFill>
              <w14:schemeClr w14:val="tx1"/>
            </w14:solidFill>
          </w14:textFill>
        </w:rPr>
        <w:t>磋商</w:t>
      </w:r>
      <w:r>
        <w:rPr>
          <w:bCs/>
          <w:color w:val="000000" w:themeColor="text1"/>
          <w:sz w:val="24"/>
          <w:u w:val="single"/>
          <w14:textFill>
            <w14:solidFill>
              <w14:schemeClr w14:val="tx1"/>
            </w14:solidFill>
          </w14:textFill>
        </w:rPr>
        <w:t>供应商名称）</w:t>
      </w:r>
      <w:r>
        <w:rPr>
          <w:bCs/>
          <w:color w:val="000000" w:themeColor="text1"/>
          <w:sz w:val="24"/>
          <w14:textFill>
            <w14:solidFill>
              <w14:schemeClr w14:val="tx1"/>
            </w14:solidFill>
          </w14:textFill>
        </w:rPr>
        <w:t>在下面签字的（</w:t>
      </w:r>
      <w:r>
        <w:rPr>
          <w:bCs/>
          <w:color w:val="000000" w:themeColor="text1"/>
          <w:sz w:val="24"/>
          <w:u w:val="single"/>
          <w14:textFill>
            <w14:solidFill>
              <w14:schemeClr w14:val="tx1"/>
            </w14:solidFill>
          </w14:textFill>
        </w:rPr>
        <w:t>法定代表人姓名、职务</w:t>
      </w:r>
      <w:r>
        <w:rPr>
          <w:bCs/>
          <w:color w:val="000000" w:themeColor="text1"/>
          <w:sz w:val="24"/>
          <w14:textFill>
            <w14:solidFill>
              <w14:schemeClr w14:val="tx1"/>
            </w14:solidFill>
          </w14:textFill>
        </w:rPr>
        <w:t>）代表本公司授权（供应商名称）的下面签字的</w:t>
      </w:r>
      <w:r>
        <w:rPr>
          <w:bCs/>
          <w:color w:val="000000" w:themeColor="text1"/>
          <w:sz w:val="24"/>
          <w:u w:val="single"/>
          <w14:textFill>
            <w14:solidFill>
              <w14:schemeClr w14:val="tx1"/>
            </w14:solidFill>
          </w14:textFill>
        </w:rPr>
        <w:t>（被授权代表的姓名、职务）</w:t>
      </w:r>
      <w:r>
        <w:rPr>
          <w:bCs/>
          <w:color w:val="000000" w:themeColor="text1"/>
          <w:sz w:val="24"/>
          <w14:textFill>
            <w14:solidFill>
              <w14:schemeClr w14:val="tx1"/>
            </w14:solidFill>
          </w14:textFill>
        </w:rPr>
        <w:t>为本公司的合法代理人，就（</w:t>
      </w:r>
      <w:r>
        <w:rPr>
          <w:bCs/>
          <w:color w:val="000000" w:themeColor="text1"/>
          <w:sz w:val="24"/>
          <w:u w:val="single"/>
          <w14:textFill>
            <w14:solidFill>
              <w14:schemeClr w14:val="tx1"/>
            </w14:solidFill>
          </w14:textFill>
        </w:rPr>
        <w:t>项目名称、项目编号</w:t>
      </w:r>
      <w:r>
        <w:rPr>
          <w:bCs/>
          <w:color w:val="000000" w:themeColor="text1"/>
          <w:sz w:val="24"/>
          <w14:textFill>
            <w14:solidFill>
              <w14:schemeClr w14:val="tx1"/>
            </w14:solidFill>
          </w14:textFill>
        </w:rPr>
        <w:t>）的</w:t>
      </w:r>
      <w:r>
        <w:rPr>
          <w:rFonts w:hint="eastAsia"/>
          <w:bCs/>
          <w:color w:val="000000" w:themeColor="text1"/>
          <w:sz w:val="24"/>
          <w14:textFill>
            <w14:solidFill>
              <w14:schemeClr w14:val="tx1"/>
            </w14:solidFill>
          </w14:textFill>
        </w:rPr>
        <w:t>磋商</w:t>
      </w:r>
      <w:r>
        <w:rPr>
          <w:bCs/>
          <w:color w:val="000000" w:themeColor="text1"/>
          <w:sz w:val="24"/>
          <w14:textFill>
            <w14:solidFill>
              <w14:schemeClr w14:val="tx1"/>
            </w14:solidFill>
          </w14:textFill>
        </w:rPr>
        <w:t>，以本公司的名义处理一切与之有关的事务。</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本授权书自年月日至年月日止签字有效。</w:t>
      </w:r>
    </w:p>
    <w:p>
      <w:pPr>
        <w:spacing w:line="440" w:lineRule="exact"/>
        <w:ind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特此声明。</w:t>
      </w:r>
    </w:p>
    <w:p>
      <w:pPr>
        <w:spacing w:before="156" w:beforeLines="50" w:after="312" w:afterLines="100" w:line="440" w:lineRule="exact"/>
        <w:rPr>
          <w:bCs/>
          <w:color w:val="000000" w:themeColor="text1"/>
          <w:sz w:val="24"/>
          <w14:textFill>
            <w14:solidFill>
              <w14:schemeClr w14:val="tx1"/>
            </w14:solidFill>
          </w14:textFill>
        </w:rPr>
      </w:pPr>
    </w:p>
    <w:p>
      <w:pPr>
        <w:spacing w:before="312" w:beforeLines="100" w:after="100" w:afterAutospacing="1"/>
        <w:ind w:firstLine="480" w:firstLineChars="200"/>
        <w:rPr>
          <w:bCs/>
          <w:color w:val="000000"/>
          <w:sz w:val="24"/>
        </w:rPr>
      </w:pPr>
      <w:r>
        <w:rPr>
          <w:bCs/>
          <w:color w:val="000000"/>
          <w:sz w:val="24"/>
        </w:rPr>
        <w:t>委托人名称（公章）：被授权人（签章）：</w:t>
      </w:r>
    </w:p>
    <w:p>
      <w:pPr>
        <w:spacing w:before="312" w:beforeLines="100" w:after="100" w:afterAutospacing="1"/>
        <w:ind w:firstLine="480" w:firstLineChars="20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pPr>
        <w:spacing w:before="312" w:beforeLines="100" w:after="100" w:afterAutospacing="1"/>
        <w:ind w:firstLine="480" w:firstLineChars="200"/>
        <w:rPr>
          <w:bCs/>
          <w:color w:val="000000"/>
          <w:sz w:val="24"/>
          <w:u w:val="single"/>
        </w:rPr>
      </w:pPr>
      <w:r>
        <w:rPr>
          <w:bCs/>
          <w:color w:val="000000"/>
          <w:sz w:val="24"/>
        </w:rPr>
        <w:t>电话：电话（手机）：</w:t>
      </w:r>
    </w:p>
    <w:p>
      <w:pPr>
        <w:spacing w:before="312" w:beforeLines="100" w:after="100" w:afterAutospacing="1"/>
        <w:ind w:firstLine="480" w:firstLineChars="200"/>
        <w:rPr>
          <w:bCs/>
          <w:color w:val="000000"/>
          <w:sz w:val="24"/>
          <w:u w:val="single"/>
        </w:rPr>
      </w:pPr>
      <w:r>
        <w:rPr>
          <w:bCs/>
          <w:color w:val="000000"/>
          <w:sz w:val="24"/>
        </w:rPr>
        <w:t>传真：办公电话/传真：</w:t>
      </w:r>
    </w:p>
    <w:tbl>
      <w:tblPr>
        <w:tblStyle w:val="29"/>
        <w:tblpPr w:leftFromText="180" w:rightFromText="180" w:vertAnchor="text" w:horzAnchor="page" w:tblpX="1867" w:tblpY="453"/>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522" w:type="dxa"/>
          </w:tcPr>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粘贴被授权人身份证（复印件）</w:t>
            </w:r>
          </w:p>
        </w:tc>
      </w:tr>
    </w:tbl>
    <w:p>
      <w:pPr>
        <w:spacing w:before="156" w:beforeLines="50" w:after="312" w:afterLines="100"/>
        <w:rPr>
          <w:bCs/>
          <w:color w:val="000000" w:themeColor="text1"/>
          <w:sz w:val="24"/>
          <w:u w:val="single"/>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6</w:t>
      </w:r>
    </w:p>
    <w:p>
      <w:pPr>
        <w:spacing w:line="500" w:lineRule="exact"/>
        <w:jc w:val="center"/>
        <w:rPr>
          <w:bCs/>
          <w:color w:val="000000"/>
          <w:sz w:val="32"/>
          <w:szCs w:val="32"/>
        </w:rPr>
      </w:pPr>
      <w:r>
        <w:rPr>
          <w:rFonts w:hint="eastAsia"/>
          <w:bCs/>
          <w:color w:val="000000"/>
          <w:sz w:val="32"/>
          <w:szCs w:val="32"/>
        </w:rPr>
        <w:t>法人或者其他组织的营业执照、事业单位法人证书等证明文件，自然人的身份证明等</w:t>
      </w:r>
      <w:r>
        <w:rPr>
          <w:bCs/>
          <w:color w:val="000000"/>
          <w:sz w:val="32"/>
          <w:szCs w:val="32"/>
        </w:rPr>
        <w:t>证明材料</w:t>
      </w:r>
    </w:p>
    <w:p>
      <w:pPr>
        <w:rPr>
          <w:rFonts w:eastAsia="仿宋_GB2312"/>
          <w:bCs/>
          <w:color w:val="000000"/>
          <w:szCs w:val="28"/>
        </w:rPr>
      </w:pPr>
    </w:p>
    <w:p>
      <w:pPr>
        <w:spacing w:line="440" w:lineRule="exact"/>
        <w:ind w:left="360" w:hanging="360" w:hangingChars="15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pPr>
        <w:spacing w:line="440" w:lineRule="exact"/>
        <w:ind w:left="360" w:hanging="360" w:hangingChars="150"/>
        <w:rPr>
          <w:bCs/>
          <w:color w:val="000000" w:themeColor="text1"/>
          <w:sz w:val="24"/>
          <w14:textFill>
            <w14:solidFill>
              <w14:schemeClr w14:val="tx1"/>
            </w14:solidFill>
          </w14:textFill>
        </w:rPr>
      </w:pPr>
    </w:p>
    <w:p>
      <w:pPr>
        <w:widowControl/>
        <w:jc w:val="left"/>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line="440" w:lineRule="exact"/>
        <w:ind w:left="360" w:hanging="360" w:hangingChars="150"/>
        <w:rPr>
          <w:bCs/>
          <w:color w:val="000000" w:themeColor="text1"/>
          <w:sz w:val="24"/>
          <w14:textFill>
            <w14:solidFill>
              <w14:schemeClr w14:val="tx1"/>
            </w14:solidFill>
          </w14:textFill>
        </w:rPr>
      </w:pPr>
    </w:p>
    <w:p>
      <w:pPr>
        <w:spacing w:line="440" w:lineRule="exact"/>
        <w:ind w:left="360" w:hanging="360" w:hangingChars="15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7</w:t>
      </w:r>
    </w:p>
    <w:p>
      <w:pPr>
        <w:spacing w:line="500" w:lineRule="exact"/>
        <w:ind w:firstLine="560" w:firstLineChars="200"/>
        <w:outlineLvl w:val="0"/>
        <w:rPr>
          <w:rFonts w:eastAsia="仿宋_GB2312"/>
          <w:bCs/>
          <w:color w:val="000000"/>
          <w:szCs w:val="28"/>
        </w:rPr>
      </w:pPr>
      <w:bookmarkStart w:id="27" w:name="_Toc17490"/>
      <w:r>
        <w:rPr>
          <w:rFonts w:hint="eastAsia"/>
          <w:bCs/>
          <w:color w:val="000000"/>
          <w:szCs w:val="32"/>
        </w:rPr>
        <w:t>财务状况报告或银行资信证明，依法缴纳税收和社会保障资金的相关材料</w:t>
      </w:r>
      <w:bookmarkEnd w:id="27"/>
    </w:p>
    <w:p>
      <w:pPr>
        <w:spacing w:line="440" w:lineRule="exact"/>
        <w:ind w:firstLine="480" w:firstLineChars="200"/>
        <w:rPr>
          <w:bCs/>
          <w:color w:val="000000"/>
          <w:sz w:val="24"/>
        </w:rPr>
      </w:pPr>
      <w:r>
        <w:rPr>
          <w:rFonts w:hint="eastAsia"/>
          <w:bCs/>
          <w:color w:val="000000"/>
          <w:sz w:val="24"/>
        </w:rPr>
        <w:t>一、</w:t>
      </w:r>
      <w:r>
        <w:rPr>
          <w:bCs/>
          <w:color w:val="000000"/>
          <w:sz w:val="24"/>
        </w:rPr>
        <w:t>参加本采购项目</w:t>
      </w:r>
      <w:r>
        <w:rPr>
          <w:rFonts w:hint="eastAsia"/>
          <w:bCs/>
          <w:color w:val="000000"/>
          <w:sz w:val="24"/>
          <w:lang w:val="zh-CN"/>
        </w:rPr>
        <w:t>提供经审计的上一年度的年度财务报告或银行资信证明或承诺函</w:t>
      </w:r>
      <w:r>
        <w:rPr>
          <w:rFonts w:hint="eastAsia"/>
          <w:bCs/>
          <w:color w:val="000000"/>
          <w:sz w:val="24"/>
        </w:rPr>
        <w:t>，或其他证明具备实施本项目的财务状况证明材料</w:t>
      </w:r>
      <w:r>
        <w:rPr>
          <w:bCs/>
          <w:color w:val="000000"/>
          <w:sz w:val="24"/>
        </w:rPr>
        <w:t>；</w:t>
      </w:r>
    </w:p>
    <w:p>
      <w:pPr>
        <w:spacing w:line="440" w:lineRule="exact"/>
        <w:ind w:firstLine="480" w:firstLineChars="20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r>
        <w:rPr>
          <w:rFonts w:hint="eastAsia"/>
          <w:bCs/>
          <w:color w:val="000000"/>
          <w:sz w:val="24"/>
          <w:lang w:val="zh-CN"/>
        </w:rPr>
        <w:t>提供投标文件送达截止时间前六个月(不含投标文件送达截止时间的当月) 中任一月份的税收缴纳凭据或依法免税相关证明材料或依法缴纳税收承诺书(格式自拟)。</w:t>
      </w:r>
    </w:p>
    <w:p>
      <w:pPr>
        <w:spacing w:line="440" w:lineRule="exact"/>
        <w:ind w:firstLine="480" w:firstLineChars="200"/>
        <w:rPr>
          <w:bCs/>
          <w:color w:val="000000"/>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rFonts w:hint="eastAsia"/>
          <w:bCs/>
          <w:color w:val="000000"/>
          <w:sz w:val="24"/>
          <w:lang w:val="zh-CN"/>
        </w:rPr>
        <w:t>提供投标文件送达截止时间前六个月(不含投标文件送达截止时间的当月) 中任一月份的社会保障资金缴纳凭据或依法不需要缴纳社会保障资金相关证明材料或依法缴纳社会保障资金承诺书(格式自拟)。</w:t>
      </w:r>
    </w:p>
    <w:p>
      <w:pPr>
        <w:spacing w:line="440" w:lineRule="exact"/>
        <w:ind w:firstLine="480" w:firstLineChars="200"/>
        <w:rPr>
          <w:bCs/>
          <w:color w:val="000000"/>
          <w:sz w:val="24"/>
        </w:rPr>
      </w:pPr>
      <w:r>
        <w:rPr>
          <w:bCs/>
          <w:color w:val="000000"/>
          <w:sz w:val="24"/>
        </w:rPr>
        <w:br w:type="page"/>
      </w:r>
    </w:p>
    <w:p>
      <w:pPr>
        <w:spacing w:line="440" w:lineRule="exact"/>
        <w:ind w:left="3" w:leftChars="1" w:firstLine="560" w:firstLineChars="200"/>
        <w:rPr>
          <w:color w:val="000000" w:themeColor="text1"/>
          <w:szCs w:val="28"/>
          <w14:textFill>
            <w14:solidFill>
              <w14:schemeClr w14:val="tx1"/>
            </w14:solidFill>
          </w14:textFill>
        </w:rPr>
      </w:pPr>
    </w:p>
    <w:p>
      <w:pPr>
        <w:spacing w:line="440" w:lineRule="exact"/>
        <w:ind w:left="3" w:leftChars="1" w:firstLine="480" w:firstLineChars="2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8</w:t>
      </w:r>
    </w:p>
    <w:p>
      <w:pPr>
        <w:widowControl/>
        <w:jc w:val="left"/>
        <w:rPr>
          <w:bCs/>
          <w:color w:val="000000" w:themeColor="text1"/>
          <w:sz w:val="24"/>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具备履行合同所必需的设备和专业技术能力的</w:t>
      </w:r>
    </w:p>
    <w:p>
      <w:pPr>
        <w:spacing w:line="440" w:lineRule="exact"/>
        <w:jc w:val="center"/>
        <w:rPr>
          <w:rFonts w:ascii="宋体" w:hAnsi="宋体"/>
          <w:bCs/>
          <w:color w:val="000000"/>
          <w:sz w:val="32"/>
          <w:szCs w:val="32"/>
        </w:rPr>
      </w:pPr>
      <w:r>
        <w:rPr>
          <w:rFonts w:hint="eastAsia" w:ascii="宋体" w:hAnsi="宋体"/>
          <w:bCs/>
          <w:color w:val="000000"/>
          <w:sz w:val="32"/>
          <w:szCs w:val="32"/>
        </w:rPr>
        <w:t>证明材料</w:t>
      </w:r>
    </w:p>
    <w:p>
      <w:pPr>
        <w:spacing w:before="156" w:beforeLines="50" w:after="312" w:afterLines="100"/>
        <w:jc w:val="center"/>
        <w:rPr>
          <w:bCs/>
          <w:color w:val="000000" w:themeColor="text1"/>
          <w:sz w:val="24"/>
          <w14:textFill>
            <w14:solidFill>
              <w14:schemeClr w14:val="tx1"/>
            </w14:solidFill>
          </w14:textFill>
        </w:rPr>
      </w:pPr>
      <w:r>
        <w:rPr>
          <w:rFonts w:hint="eastAsia"/>
          <w:bCs/>
          <w:sz w:val="22"/>
          <w:szCs w:val="22"/>
          <w:lang w:val="zh-CN"/>
        </w:rPr>
        <w:t>提供相关证明材料或承诺函</w:t>
      </w:r>
    </w:p>
    <w:p>
      <w:pPr>
        <w:rPr>
          <w:bCs/>
          <w:color w:val="000000" w:themeColor="text1"/>
          <w:sz w:val="24"/>
          <w14:textFill>
            <w14:solidFill>
              <w14:schemeClr w14:val="tx1"/>
            </w14:solidFill>
          </w14:textFill>
        </w:rPr>
      </w:pPr>
      <w:r>
        <w:rPr>
          <w:bCs/>
          <w:color w:val="000000" w:themeColor="text1"/>
          <w:sz w:val="24"/>
          <w14:textFill>
            <w14:solidFill>
              <w14:schemeClr w14:val="tx1"/>
            </w14:solidFill>
          </w14:textFill>
        </w:rPr>
        <w:br w:type="page"/>
      </w:r>
    </w:p>
    <w:p>
      <w:pPr>
        <w:spacing w:before="156" w:beforeLines="50" w:after="312" w:afterLines="100"/>
        <w:rPr>
          <w:bCs/>
          <w:color w:val="000000" w:themeColor="text1"/>
          <w:sz w:val="24"/>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9</w:t>
      </w:r>
    </w:p>
    <w:p>
      <w:pPr>
        <w:spacing w:line="440" w:lineRule="exact"/>
        <w:jc w:val="center"/>
        <w:rPr>
          <w:rFonts w:ascii="宋体" w:hAnsi="宋体"/>
          <w:bCs/>
          <w:color w:val="000000"/>
          <w:sz w:val="32"/>
          <w:szCs w:val="32"/>
        </w:rPr>
      </w:pPr>
      <w:r>
        <w:rPr>
          <w:rFonts w:hint="eastAsia" w:ascii="宋体" w:hAnsi="宋体"/>
          <w:bCs/>
          <w:color w:val="000000"/>
          <w:sz w:val="32"/>
          <w:szCs w:val="32"/>
        </w:rPr>
        <w:t>参加政府采购活动前3年内在经营活动中</w:t>
      </w:r>
    </w:p>
    <w:p>
      <w:pPr>
        <w:spacing w:line="440" w:lineRule="exact"/>
        <w:jc w:val="center"/>
        <w:rPr>
          <w:rFonts w:ascii="宋体" w:hAnsi="宋体"/>
          <w:bCs/>
          <w:color w:val="000000"/>
          <w:sz w:val="32"/>
          <w:szCs w:val="32"/>
        </w:rPr>
      </w:pPr>
      <w:r>
        <w:rPr>
          <w:rFonts w:hint="eastAsia" w:ascii="宋体" w:hAnsi="宋体"/>
          <w:bCs/>
          <w:color w:val="000000"/>
          <w:sz w:val="32"/>
          <w:szCs w:val="32"/>
        </w:rPr>
        <w:t>没有重大违法记录的书面声明</w:t>
      </w:r>
    </w:p>
    <w:p>
      <w:pPr>
        <w:spacing w:line="440" w:lineRule="exact"/>
        <w:jc w:val="center"/>
        <w:rPr>
          <w:rFonts w:eastAsia="仿宋_GB2312"/>
          <w:sz w:val="24"/>
        </w:rPr>
      </w:pPr>
    </w:p>
    <w:p>
      <w:pPr>
        <w:spacing w:line="500" w:lineRule="exact"/>
        <w:jc w:val="center"/>
        <w:rPr>
          <w:rFonts w:eastAsiaTheme="majorEastAsia"/>
          <w:bCs/>
          <w:color w:val="000000" w:themeColor="text1"/>
          <w:sz w:val="32"/>
          <w:szCs w:val="32"/>
          <w14:textFill>
            <w14:solidFill>
              <w14:schemeClr w14:val="tx1"/>
            </w14:solidFill>
          </w14:textFill>
        </w:rPr>
      </w:pPr>
      <w:r>
        <w:rPr>
          <w:rFonts w:hint="eastAsia" w:ascii="宋体" w:hAnsi="宋体"/>
          <w:sz w:val="24"/>
        </w:rPr>
        <w:t>（供应商自行编写）</w:t>
      </w:r>
    </w:p>
    <w:p>
      <w:pPr>
        <w:widowControl/>
        <w:jc w:val="left"/>
        <w:rPr>
          <w:rFonts w:eastAsiaTheme="majorEastAsia"/>
          <w:bCs/>
          <w:color w:val="000000" w:themeColor="text1"/>
          <w:sz w:val="32"/>
          <w:szCs w:val="32"/>
          <w14:textFill>
            <w14:solidFill>
              <w14:schemeClr w14:val="tx1"/>
            </w14:solidFill>
          </w14:textFill>
        </w:rPr>
      </w:pPr>
      <w:r>
        <w:rPr>
          <w:rFonts w:eastAsiaTheme="majorEastAsia"/>
          <w:bCs/>
          <w:color w:val="000000" w:themeColor="text1"/>
          <w:sz w:val="32"/>
          <w:szCs w:val="32"/>
          <w14:textFill>
            <w14:solidFill>
              <w14:schemeClr w14:val="tx1"/>
            </w14:solidFill>
          </w14:textFill>
        </w:rPr>
        <w:br w:type="page"/>
      </w:r>
    </w:p>
    <w:p>
      <w:pPr>
        <w:widowControl/>
        <w:jc w:val="left"/>
        <w:rPr>
          <w:bCs/>
          <w:color w:val="000000" w:themeColor="text1"/>
          <w:sz w:val="24"/>
          <w14:textFill>
            <w14:solidFill>
              <w14:schemeClr w14:val="tx1"/>
            </w14:solidFill>
          </w14:textFill>
        </w:rPr>
      </w:pPr>
    </w:p>
    <w:p>
      <w:pPr>
        <w:widowControl/>
        <w:jc w:val="left"/>
        <w:rPr>
          <w:color w:val="000000" w:themeColor="text1"/>
          <w:sz w:val="32"/>
          <w:szCs w:val="32"/>
          <w14:textFill>
            <w14:solidFill>
              <w14:schemeClr w14:val="tx1"/>
            </w14:solidFill>
          </w14:textFill>
        </w:rPr>
      </w:pPr>
      <w:r>
        <w:rPr>
          <w:bCs/>
          <w:color w:val="000000" w:themeColor="text1"/>
          <w:sz w:val="24"/>
          <w14:textFill>
            <w14:solidFill>
              <w14:schemeClr w14:val="tx1"/>
            </w14:solidFill>
          </w14:textFill>
        </w:rPr>
        <w:t>附件</w:t>
      </w:r>
      <w:r>
        <w:rPr>
          <w:rFonts w:hint="eastAsia"/>
          <w:bCs/>
          <w:color w:val="000000" w:themeColor="text1"/>
          <w:sz w:val="24"/>
          <w14:textFill>
            <w14:solidFill>
              <w14:schemeClr w14:val="tx1"/>
            </w14:solidFill>
          </w14:textFill>
        </w:rPr>
        <w:t>10</w:t>
      </w:r>
    </w:p>
    <w:p>
      <w:pPr>
        <w:adjustRightInd w:val="0"/>
        <w:snapToGrid w:val="0"/>
        <w:jc w:val="center"/>
        <w:rPr>
          <w:color w:val="000000" w:themeColor="text1"/>
          <w:sz w:val="32"/>
          <w:szCs w:val="32"/>
          <w14:textFill>
            <w14:solidFill>
              <w14:schemeClr w14:val="tx1"/>
            </w14:solidFill>
          </w14:textFill>
        </w:rPr>
      </w:pPr>
    </w:p>
    <w:p>
      <w:pPr>
        <w:spacing w:line="440" w:lineRule="exact"/>
        <w:jc w:val="center"/>
        <w:rPr>
          <w:rFonts w:ascii="宋体" w:hAnsi="宋体"/>
          <w:bCs/>
          <w:color w:val="000000"/>
          <w:sz w:val="32"/>
          <w:szCs w:val="32"/>
        </w:rPr>
      </w:pPr>
      <w:r>
        <w:rPr>
          <w:rFonts w:hint="eastAsia" w:ascii="宋体" w:hAnsi="宋体"/>
          <w:bCs/>
          <w:color w:val="000000"/>
          <w:sz w:val="32"/>
          <w:szCs w:val="32"/>
        </w:rPr>
        <w:t>未被列入“信用中国”网站失信被执行人、税收违法黑名单、政府采购严重违法失信行为</w:t>
      </w:r>
    </w:p>
    <w:p>
      <w:pPr>
        <w:spacing w:line="440" w:lineRule="exact"/>
        <w:jc w:val="center"/>
        <w:rPr>
          <w:rFonts w:ascii="宋体" w:hAnsi="宋体"/>
          <w:bCs/>
          <w:color w:val="000000"/>
          <w:sz w:val="32"/>
          <w:szCs w:val="32"/>
        </w:rPr>
      </w:pPr>
      <w:r>
        <w:rPr>
          <w:rFonts w:hint="eastAsia" w:ascii="宋体" w:hAnsi="宋体"/>
          <w:bCs/>
          <w:color w:val="000000"/>
          <w:sz w:val="32"/>
          <w:szCs w:val="32"/>
        </w:rPr>
        <w:t>记录名单的网页打印件</w:t>
      </w:r>
    </w:p>
    <w:p>
      <w:pPr>
        <w:spacing w:line="440" w:lineRule="exact"/>
        <w:jc w:val="center"/>
        <w:rPr>
          <w:rFonts w:ascii="宋体" w:hAnsi="宋体"/>
          <w:sz w:val="24"/>
        </w:rPr>
      </w:pPr>
    </w:p>
    <w:p>
      <w:pPr>
        <w:spacing w:line="440" w:lineRule="exact"/>
        <w:jc w:val="center"/>
        <w:rPr>
          <w:color w:val="000000" w:themeColor="text1"/>
          <w14:textFill>
            <w14:solidFill>
              <w14:schemeClr w14:val="tx1"/>
            </w14:solidFill>
          </w14:textFill>
        </w:rPr>
      </w:pPr>
      <w:r>
        <w:rPr>
          <w:rFonts w:hint="eastAsia" w:ascii="宋体" w:hAnsi="宋体"/>
          <w:sz w:val="24"/>
        </w:rPr>
        <w:t>（供应商自行打印）</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hint="eastAsia"/>
          <w:sz w:val="24"/>
        </w:rPr>
        <w:t>附件11-1</w:t>
      </w:r>
    </w:p>
    <w:p>
      <w:pPr>
        <w:spacing w:line="360" w:lineRule="auto"/>
        <w:rPr>
          <w:rFonts w:ascii="宋体" w:hAnsi="宋体" w:cs="宋体"/>
          <w:b/>
          <w:sz w:val="32"/>
          <w:szCs w:val="32"/>
        </w:rPr>
      </w:pPr>
    </w:p>
    <w:p>
      <w:pPr>
        <w:spacing w:line="360" w:lineRule="auto"/>
        <w:jc w:val="center"/>
        <w:outlineLvl w:val="0"/>
        <w:rPr>
          <w:rFonts w:ascii="宋体" w:hAnsi="宋体" w:cs="宋体"/>
          <w:b/>
          <w:sz w:val="36"/>
          <w:szCs w:val="36"/>
        </w:rPr>
      </w:pPr>
      <w:bookmarkStart w:id="28" w:name="_Toc24405"/>
      <w:r>
        <w:rPr>
          <w:rFonts w:ascii="宋体" w:hAnsi="宋体" w:cs="宋体"/>
          <w:b/>
          <w:sz w:val="32"/>
          <w:szCs w:val="32"/>
        </w:rPr>
        <w:t>中小企业声明函（工程、服务）</w:t>
      </w:r>
      <w:bookmarkEnd w:id="28"/>
    </w:p>
    <w:p>
      <w:pPr>
        <w:pStyle w:val="16"/>
        <w:spacing w:line="360" w:lineRule="auto"/>
        <w:ind w:firstLine="480" w:firstLineChars="200"/>
        <w:rPr>
          <w:rFonts w:ascii="宋体" w:hAnsi="宋体" w:cs="宋体"/>
        </w:rPr>
      </w:pPr>
      <w:r>
        <w:rPr>
          <w:rFonts w:ascii="宋体" w:hAnsi="宋体" w:cs="宋体"/>
        </w:rPr>
        <w:t>本公司（联合体）郑重声明，根据《政府采购促进中小 企业发展管理办法》（财库﹝2020﹞46 号）的规定，本公司 （联合体）参加（</w:t>
      </w:r>
      <w:r>
        <w:rPr>
          <w:rFonts w:ascii="宋体" w:hAnsi="宋体" w:cs="宋体"/>
          <w:u w:val="single"/>
        </w:rPr>
        <w:t>单位名称</w:t>
      </w:r>
      <w:r>
        <w:rPr>
          <w:rFonts w:ascii="宋体" w:hAnsi="宋体" w:cs="宋体"/>
        </w:rPr>
        <w:t>）的（</w:t>
      </w:r>
      <w:r>
        <w:rPr>
          <w:rFonts w:ascii="宋体" w:hAnsi="宋体" w:cs="宋体"/>
          <w:u w:val="single"/>
        </w:rPr>
        <w:t>项目名称</w:t>
      </w:r>
      <w:r>
        <w:rPr>
          <w:rFonts w:ascii="宋体" w:hAnsi="宋体" w:cs="宋体"/>
        </w:rPr>
        <w:t>）采购活动，工 程的施工单位全部为符合政策要求的中小企业（或者：服务 全部由符合政策要求的中小企业承接）。相关企业（含联合 体中的中小企业、签订分包意向协议的中小企业）的具体情 况如下：</w:t>
      </w:r>
    </w:p>
    <w:p>
      <w:pPr>
        <w:pStyle w:val="16"/>
        <w:spacing w:line="360" w:lineRule="auto"/>
        <w:ind w:firstLine="480" w:firstLineChars="200"/>
        <w:rPr>
          <w:rFonts w:ascii="宋体" w:hAnsi="宋体" w:cs="宋体"/>
        </w:rPr>
      </w:pPr>
      <w:r>
        <w:rPr>
          <w:rFonts w:ascii="宋体" w:hAnsi="宋体" w:cs="宋体"/>
        </w:rPr>
        <w:t>1.（</w:t>
      </w:r>
      <w:r>
        <w:rPr>
          <w:rFonts w:ascii="宋体" w:hAnsi="宋体" w:cs="宋体"/>
          <w:u w:val="single"/>
        </w:rPr>
        <w:t>标的名称</w:t>
      </w:r>
      <w:r>
        <w:rPr>
          <w:rFonts w:ascii="宋体" w:hAnsi="宋体" w:cs="宋体"/>
        </w:rPr>
        <w:t>） ，属于（采购文件中明确的所属行业）； 承建（承接）企业为（企业名称），从业人员</w:t>
      </w:r>
      <w:r>
        <w:rPr>
          <w:rFonts w:ascii="宋体" w:hAnsi="宋体" w:cs="宋体"/>
          <w:u w:val="single"/>
        </w:rPr>
        <w:t xml:space="preserve">   </w:t>
      </w:r>
      <w:r>
        <w:rPr>
          <w:rFonts w:ascii="宋体" w:hAnsi="宋体" w:cs="宋体"/>
        </w:rPr>
        <w:t>人，营业收入为</w:t>
      </w:r>
      <w:r>
        <w:rPr>
          <w:rFonts w:ascii="宋体" w:hAnsi="宋体" w:cs="宋体"/>
          <w:u w:val="single"/>
        </w:rPr>
        <w:t xml:space="preserve">    </w:t>
      </w:r>
      <w:r>
        <w:rPr>
          <w:rFonts w:ascii="宋体" w:hAnsi="宋体" w:cs="宋体"/>
        </w:rPr>
        <w:t>万元，资产总额为</w:t>
      </w:r>
      <w:r>
        <w:rPr>
          <w:rFonts w:ascii="宋体" w:hAnsi="宋体" w:cs="宋体"/>
          <w:u w:val="single"/>
        </w:rPr>
        <w:t xml:space="preserve">     </w:t>
      </w:r>
      <w:r>
        <w:rPr>
          <w:rFonts w:ascii="宋体" w:hAnsi="宋体" w:cs="宋体"/>
        </w:rPr>
        <w:t xml:space="preserve">万元 ，属于（中型企业、 小型企业、微型企业）； </w:t>
      </w:r>
    </w:p>
    <w:p>
      <w:pPr>
        <w:pStyle w:val="16"/>
        <w:spacing w:line="360" w:lineRule="auto"/>
        <w:ind w:firstLine="480" w:firstLineChars="200"/>
        <w:rPr>
          <w:rFonts w:ascii="宋体" w:hAnsi="宋体" w:cs="宋体"/>
        </w:rPr>
      </w:pPr>
      <w:r>
        <w:rPr>
          <w:rFonts w:ascii="宋体" w:hAnsi="宋体" w:cs="宋体"/>
        </w:rPr>
        <w:t>2.（</w:t>
      </w:r>
      <w:r>
        <w:rPr>
          <w:rFonts w:ascii="宋体" w:hAnsi="宋体" w:cs="宋体"/>
          <w:u w:val="single"/>
        </w:rPr>
        <w:t>标的名称</w:t>
      </w:r>
      <w:r>
        <w:rPr>
          <w:rFonts w:ascii="宋体" w:hAnsi="宋体" w:cs="宋体"/>
        </w:rPr>
        <w:t>） ，属于（</w:t>
      </w:r>
      <w:r>
        <w:rPr>
          <w:rFonts w:ascii="宋体" w:hAnsi="宋体" w:cs="宋体"/>
          <w:u w:val="single"/>
        </w:rPr>
        <w:t>采购文件中明确的所属行业</w:t>
      </w:r>
      <w:r>
        <w:rPr>
          <w:rFonts w:ascii="宋体" w:hAnsi="宋体" w:cs="宋体"/>
        </w:rPr>
        <w:t>）； 承建（承接）企业为（</w:t>
      </w:r>
      <w:r>
        <w:rPr>
          <w:rFonts w:ascii="宋体" w:hAnsi="宋体" w:cs="宋体"/>
          <w:u w:val="single"/>
        </w:rPr>
        <w:t>企业名称</w:t>
      </w:r>
      <w:r>
        <w:rPr>
          <w:rFonts w:ascii="宋体" w:hAnsi="宋体" w:cs="宋体"/>
        </w:rPr>
        <w:t>），从业人员</w:t>
      </w:r>
      <w:r>
        <w:rPr>
          <w:rFonts w:ascii="宋体" w:hAnsi="宋体" w:cs="宋体"/>
          <w:u w:val="single"/>
        </w:rPr>
        <w:t xml:space="preserve">    </w:t>
      </w:r>
      <w:r>
        <w:rPr>
          <w:rFonts w:ascii="宋体" w:hAnsi="宋体" w:cs="宋体"/>
        </w:rPr>
        <w:t>人，营业 收入为</w:t>
      </w:r>
      <w:r>
        <w:rPr>
          <w:rFonts w:ascii="宋体" w:hAnsi="宋体" w:cs="宋体"/>
          <w:u w:val="single"/>
        </w:rPr>
        <w:t xml:space="preserve">    </w:t>
      </w:r>
      <w:r>
        <w:rPr>
          <w:rFonts w:ascii="宋体" w:hAnsi="宋体" w:cs="宋体"/>
        </w:rPr>
        <w:t>万元，资产总额为</w:t>
      </w:r>
      <w:r>
        <w:rPr>
          <w:rFonts w:ascii="宋体" w:hAnsi="宋体" w:cs="宋体"/>
          <w:u w:val="single"/>
        </w:rPr>
        <w:t xml:space="preserve">    </w:t>
      </w:r>
      <w:r>
        <w:rPr>
          <w:rFonts w:ascii="宋体" w:hAnsi="宋体" w:cs="宋体"/>
        </w:rPr>
        <w:t>万元，属于（</w:t>
      </w:r>
      <w:r>
        <w:rPr>
          <w:rFonts w:ascii="宋体" w:hAnsi="宋体" w:cs="宋体"/>
          <w:u w:val="single"/>
        </w:rPr>
        <w:t>中型企业、 小型企业、微型企业</w:t>
      </w:r>
      <w:r>
        <w:rPr>
          <w:rFonts w:ascii="宋体" w:hAnsi="宋体" w:cs="宋体"/>
        </w:rPr>
        <w:t xml:space="preserve">）； </w:t>
      </w:r>
    </w:p>
    <w:p>
      <w:pPr>
        <w:pStyle w:val="16"/>
        <w:spacing w:line="360" w:lineRule="auto"/>
        <w:ind w:firstLine="480" w:firstLineChars="200"/>
        <w:rPr>
          <w:rFonts w:ascii="宋体" w:hAnsi="宋体" w:cs="宋体"/>
        </w:rPr>
      </w:pPr>
      <w:r>
        <w:rPr>
          <w:rFonts w:ascii="宋体" w:hAnsi="宋体" w:cs="宋体"/>
        </w:rPr>
        <w:t>……</w:t>
      </w:r>
    </w:p>
    <w:p>
      <w:pPr>
        <w:pStyle w:val="16"/>
        <w:spacing w:line="360" w:lineRule="auto"/>
        <w:ind w:firstLine="480" w:firstLineChars="200"/>
        <w:rPr>
          <w:rFonts w:ascii="宋体" w:hAnsi="宋体" w:cs="宋体"/>
        </w:rPr>
      </w:pPr>
      <w:r>
        <w:rPr>
          <w:rFonts w:ascii="宋体" w:hAnsi="宋体" w:cs="宋体"/>
        </w:rPr>
        <w:t xml:space="preserve"> 以上企业，不属于大企业的分支机构，不存在控股股东 为大企业的情形，也不存在与大企业的负责人为同一人的情形。 </w:t>
      </w:r>
    </w:p>
    <w:p>
      <w:pPr>
        <w:pStyle w:val="16"/>
        <w:spacing w:line="360" w:lineRule="auto"/>
        <w:ind w:firstLine="480" w:firstLineChars="200"/>
        <w:rPr>
          <w:rFonts w:ascii="宋体" w:hAnsi="宋体" w:cs="宋体"/>
        </w:rPr>
      </w:pPr>
      <w:r>
        <w:rPr>
          <w:rFonts w:ascii="宋体" w:hAnsi="宋体" w:cs="宋体"/>
        </w:rPr>
        <w:t xml:space="preserve">本企业对上述声明内容的真实性负责。如有虚假，将依 法承担相应责任。 </w:t>
      </w:r>
    </w:p>
    <w:p>
      <w:pPr>
        <w:pStyle w:val="16"/>
        <w:spacing w:line="360" w:lineRule="auto"/>
        <w:ind w:firstLine="2880" w:firstLineChars="1200"/>
        <w:rPr>
          <w:rFonts w:ascii="宋体" w:hAnsi="宋体" w:cs="宋体"/>
        </w:rPr>
      </w:pPr>
    </w:p>
    <w:p>
      <w:pPr>
        <w:pStyle w:val="16"/>
        <w:spacing w:line="360" w:lineRule="auto"/>
        <w:ind w:firstLine="4080" w:firstLineChars="1700"/>
        <w:rPr>
          <w:rFonts w:ascii="宋体" w:hAnsi="宋体" w:cs="宋体"/>
          <w:u w:val="single"/>
        </w:rPr>
      </w:pPr>
      <w:r>
        <w:rPr>
          <w:rFonts w:ascii="宋体" w:hAnsi="宋体" w:cs="宋体"/>
        </w:rPr>
        <w:t>企业名称（盖章）：</w:t>
      </w:r>
      <w:r>
        <w:rPr>
          <w:rFonts w:hint="eastAsia" w:ascii="宋体" w:hAnsi="宋体" w:cs="宋体"/>
          <w:u w:val="single"/>
        </w:rPr>
        <w:t xml:space="preserve">                      </w:t>
      </w:r>
    </w:p>
    <w:p>
      <w:pPr>
        <w:pStyle w:val="16"/>
        <w:spacing w:line="360" w:lineRule="auto"/>
        <w:ind w:firstLine="4080" w:firstLineChars="1700"/>
        <w:rPr>
          <w:rFonts w:ascii="宋体" w:hAnsi="宋体" w:cs="宋体"/>
        </w:rPr>
      </w:pPr>
      <w:r>
        <w:rPr>
          <w:rFonts w:ascii="宋体" w:hAnsi="宋体" w:cs="宋体"/>
        </w:rPr>
        <w:t>日 期：</w:t>
      </w:r>
      <w:r>
        <w:rPr>
          <w:rFonts w:hint="eastAsia" w:ascii="宋体" w:hAnsi="宋体" w:cs="宋体"/>
          <w:u w:val="single"/>
        </w:rPr>
        <w:t xml:space="preserve">                                 </w:t>
      </w:r>
    </w:p>
    <w:p>
      <w:pPr>
        <w:pStyle w:val="16"/>
        <w:spacing w:after="312" w:afterLines="100" w:line="200" w:lineRule="exact"/>
        <w:rPr>
          <w:rFonts w:ascii="宋体" w:hAnsi="宋体" w:cs="宋体"/>
          <w:sz w:val="18"/>
          <w:szCs w:val="18"/>
        </w:rPr>
      </w:pPr>
    </w:p>
    <w:p>
      <w:pPr>
        <w:pStyle w:val="16"/>
        <w:spacing w:after="312" w:afterLines="100" w:line="200" w:lineRule="exact"/>
        <w:rPr>
          <w:rFonts w:ascii="宋体" w:hAnsi="宋体" w:cs="宋体"/>
          <w:sz w:val="18"/>
          <w:szCs w:val="18"/>
        </w:rPr>
      </w:pPr>
    </w:p>
    <w:p>
      <w:pPr>
        <w:pStyle w:val="16"/>
        <w:spacing w:after="312" w:afterLines="100" w:line="200" w:lineRule="exact"/>
        <w:rPr>
          <w:rFonts w:ascii="宋体" w:hAnsi="宋体" w:cs="宋体"/>
          <w:sz w:val="18"/>
          <w:szCs w:val="18"/>
        </w:rPr>
      </w:pPr>
    </w:p>
    <w:p>
      <w:pPr>
        <w:pStyle w:val="16"/>
        <w:spacing w:after="312" w:afterLines="100" w:line="200" w:lineRule="exact"/>
        <w:rPr>
          <w:rFonts w:ascii="宋体" w:hAnsi="宋体" w:cs="宋体"/>
          <w:sz w:val="18"/>
          <w:szCs w:val="18"/>
        </w:rPr>
      </w:pPr>
    </w:p>
    <w:p>
      <w:pPr>
        <w:pStyle w:val="16"/>
        <w:spacing w:after="312" w:afterLines="100" w:line="200" w:lineRule="exact"/>
        <w:rPr>
          <w:rFonts w:ascii="宋体" w:hAnsi="宋体" w:cs="宋体"/>
          <w:sz w:val="18"/>
          <w:szCs w:val="18"/>
        </w:rPr>
      </w:pPr>
      <w:r>
        <w:rPr>
          <w:rFonts w:ascii="宋体" w:hAnsi="宋体" w:cs="宋体"/>
          <w:sz w:val="18"/>
          <w:szCs w:val="18"/>
        </w:rPr>
        <w:t>从业人员、营业收入、资产总额填报上一年度数据，无上一年度数据的新成立企业可不填报。</w:t>
      </w:r>
    </w:p>
    <w:p>
      <w:pPr>
        <w:pStyle w:val="16"/>
        <w:spacing w:after="312" w:afterLines="100" w:line="200" w:lineRule="exact"/>
        <w:rPr>
          <w:rFonts w:asciiTheme="majorEastAsia" w:hAnsiTheme="majorEastAsia" w:eastAsiaTheme="majorEastAsia"/>
        </w:rPr>
      </w:pPr>
      <w:r>
        <w:rPr>
          <w:rFonts w:hint="eastAsia" w:asciiTheme="majorEastAsia" w:hAnsiTheme="majorEastAsia" w:eastAsiaTheme="majorEastAsia"/>
        </w:rPr>
        <w:t>　</w:t>
      </w:r>
    </w:p>
    <w:p>
      <w:pPr>
        <w:widowControl/>
        <w:jc w:val="left"/>
        <w:rPr>
          <w:rFonts w:asciiTheme="majorEastAsia" w:hAnsiTheme="majorEastAsia" w:eastAsiaTheme="majorEastAsia"/>
          <w:sz w:val="24"/>
        </w:rPr>
        <w:sectPr>
          <w:pgSz w:w="11906" w:h="16838"/>
          <w:pgMar w:top="1440" w:right="1247" w:bottom="1440" w:left="1417" w:header="851" w:footer="992" w:gutter="0"/>
          <w:cols w:space="425" w:num="1"/>
          <w:docGrid w:type="lines" w:linePitch="312" w:charSpace="0"/>
        </w:sectPr>
      </w:pPr>
      <w:r>
        <w:rPr>
          <w:rFonts w:asciiTheme="majorEastAsia" w:hAnsiTheme="majorEastAsia" w:eastAsiaTheme="majorEastAsia"/>
          <w:sz w:val="24"/>
        </w:rPr>
        <w:br w:type="page"/>
      </w:r>
    </w:p>
    <w:p>
      <w:pPr>
        <w:jc w:val="center"/>
        <w:rPr>
          <w:rFonts w:ascii="宋体" w:hAnsi="宋体" w:cs="宋体"/>
          <w:kern w:val="0"/>
          <w:sz w:val="36"/>
          <w:szCs w:val="36"/>
        </w:rPr>
      </w:pPr>
      <w:r>
        <w:rPr>
          <w:rFonts w:hint="eastAsia" w:ascii="宋体" w:hAnsi="宋体" w:cs="宋体"/>
          <w:kern w:val="0"/>
          <w:sz w:val="36"/>
          <w:szCs w:val="36"/>
        </w:rPr>
        <w:t>中小企业划型标准</w:t>
      </w:r>
    </w:p>
    <w:tbl>
      <w:tblPr>
        <w:tblStyle w:val="29"/>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53" w:leftChars="-40" w:right="-76" w:rightChars="-27" w:hanging="165" w:hangingChars="79"/>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营业收入</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从业人员</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总资产</w:t>
            </w:r>
          </w:p>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 w:leftChars="-40" w:right="-76" w:rightChars="-27" w:hanging="111" w:hangingChars="53"/>
              <w:jc w:val="center"/>
              <w:rPr>
                <w:rFonts w:ascii="宋体" w:hAnsi="宋体" w:cs="宋体"/>
                <w:kern w:val="0"/>
                <w:sz w:val="21"/>
                <w:szCs w:val="21"/>
              </w:rPr>
            </w:pPr>
            <w:r>
              <w:rPr>
                <w:rFonts w:hint="eastAsia" w:ascii="宋体" w:hAnsi="宋体" w:cs="宋体"/>
                <w:kern w:val="0"/>
                <w:sz w:val="21"/>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left"/>
              <w:rPr>
                <w:rFonts w:ascii="宋体" w:hAnsi="宋体" w:cs="宋体"/>
                <w:kern w:val="0"/>
                <w:sz w:val="21"/>
                <w:szCs w:val="21"/>
              </w:rPr>
            </w:pPr>
            <w:r>
              <w:rPr>
                <w:rFonts w:hint="eastAsia" w:ascii="宋体" w:hAnsi="宋体" w:cs="宋体"/>
                <w:kern w:val="0"/>
                <w:sz w:val="21"/>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244" w:rightChars="-87"/>
              <w:jc w:val="left"/>
              <w:rPr>
                <w:rFonts w:ascii="宋体" w:hAnsi="宋体" w:cs="宋体"/>
                <w:kern w:val="0"/>
                <w:sz w:val="21"/>
                <w:szCs w:val="21"/>
              </w:rPr>
            </w:pPr>
            <w:r>
              <w:rPr>
                <w:rFonts w:hint="eastAsia" w:ascii="宋体" w:hAnsi="宋体" w:cs="宋体"/>
                <w:kern w:val="0"/>
                <w:sz w:val="21"/>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112" w:leftChars="-40" w:right="-76" w:rightChars="-27"/>
              <w:jc w:val="center"/>
              <w:rPr>
                <w:rFonts w:ascii="宋体" w:hAnsi="宋体" w:cs="宋体"/>
                <w:kern w:val="0"/>
                <w:sz w:val="21"/>
                <w:szCs w:val="21"/>
              </w:rPr>
            </w:pPr>
            <w:r>
              <w:rPr>
                <w:rFonts w:hint="eastAsia" w:ascii="宋体" w:hAnsi="宋体" w:cs="宋体"/>
                <w:kern w:val="0"/>
                <w:sz w:val="21"/>
                <w:szCs w:val="21"/>
              </w:rPr>
              <w:t>　</w:t>
            </w:r>
          </w:p>
        </w:tc>
      </w:tr>
    </w:tbl>
    <w:p>
      <w:pPr>
        <w:rPr>
          <w:rFonts w:ascii="宋体" w:hAnsi="宋体"/>
          <w:sz w:val="18"/>
          <w:szCs w:val="18"/>
        </w:rPr>
        <w:sectPr>
          <w:pgSz w:w="16838" w:h="11906" w:orient="landscape"/>
          <w:pgMar w:top="1797" w:right="1440" w:bottom="1797" w:left="1440" w:header="851" w:footer="992" w:gutter="0"/>
          <w:cols w:space="425" w:num="1"/>
          <w:docGrid w:type="lines" w:linePitch="312" w:charSpace="0"/>
        </w:sectPr>
      </w:pPr>
    </w:p>
    <w:p>
      <w:pPr>
        <w:ind w:firstLine="240" w:firstLineChars="100"/>
        <w:outlineLvl w:val="0"/>
        <w:rPr>
          <w:sz w:val="24"/>
        </w:rPr>
      </w:pPr>
      <w:bookmarkStart w:id="29" w:name="_Toc7161"/>
      <w:r>
        <w:rPr>
          <w:rFonts w:hint="eastAsia"/>
          <w:sz w:val="24"/>
        </w:rPr>
        <w:t>附件11-2</w:t>
      </w:r>
      <w:bookmarkEnd w:id="29"/>
    </w:p>
    <w:p>
      <w:pPr>
        <w:spacing w:line="588" w:lineRule="exact"/>
        <w:ind w:firstLine="667"/>
        <w:jc w:val="center"/>
        <w:outlineLvl w:val="0"/>
        <w:rPr>
          <w:rFonts w:asciiTheme="majorEastAsia" w:hAnsiTheme="majorEastAsia" w:eastAsiaTheme="majorEastAsia"/>
          <w:b/>
          <w:spacing w:val="6"/>
          <w:sz w:val="32"/>
          <w:szCs w:val="32"/>
        </w:rPr>
      </w:pPr>
      <w:bookmarkStart w:id="30" w:name="_Toc21399"/>
      <w:bookmarkStart w:id="31" w:name="_Toc26610"/>
      <w:bookmarkStart w:id="32" w:name="OLE_LINK13"/>
      <w:bookmarkStart w:id="33" w:name="OLE_LINK14"/>
      <w:r>
        <w:rPr>
          <w:rFonts w:asciiTheme="majorEastAsia" w:hAnsiTheme="majorEastAsia" w:eastAsiaTheme="majorEastAsia"/>
          <w:b/>
          <w:spacing w:val="6"/>
          <w:sz w:val="32"/>
          <w:szCs w:val="32"/>
        </w:rPr>
        <w:t>残疾人福利性单位声明函</w:t>
      </w:r>
      <w:bookmarkEnd w:id="30"/>
      <w:bookmarkEnd w:id="31"/>
    </w:p>
    <w:bookmarkEnd w:id="32"/>
    <w:bookmarkEnd w:id="33"/>
    <w:p>
      <w:pPr>
        <w:spacing w:line="588" w:lineRule="exact"/>
        <w:ind w:firstLine="626"/>
        <w:rPr>
          <w:rFonts w:eastAsia="仿宋_GB2312"/>
          <w:b/>
          <w:spacing w:val="6"/>
          <w:sz w:val="30"/>
          <w:szCs w:val="30"/>
        </w:rPr>
      </w:pPr>
    </w:p>
    <w:p>
      <w:pPr>
        <w:spacing w:line="588" w:lineRule="exact"/>
        <w:ind w:firstLine="624"/>
        <w:rPr>
          <w:rFonts w:eastAsia="仿宋_GB2312"/>
          <w:spacing w:val="6"/>
          <w:sz w:val="30"/>
          <w:szCs w:val="30"/>
        </w:rPr>
      </w:pPr>
      <w:r>
        <w:rPr>
          <w:rFonts w:eastAsia="仿宋_GB2312"/>
          <w:spacing w:val="6"/>
          <w:sz w:val="30"/>
          <w:szCs w:val="30"/>
        </w:rPr>
        <w:t>本单位郑重声明，根据《财政部 民政部 中国残疾人联合会关于促进残疾人就业政府采购政策的通知》（财库</w:t>
      </w:r>
      <w:r>
        <w:rPr>
          <w:rFonts w:eastAsia="仿宋_GB2312"/>
          <w:sz w:val="32"/>
          <w:szCs w:val="32"/>
        </w:rPr>
        <w:t>〔2017〕 141</w:t>
      </w:r>
      <w:r>
        <w:rPr>
          <w:rFonts w:eastAsia="仿宋_GB2312"/>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pPr>
        <w:spacing w:line="588" w:lineRule="exact"/>
        <w:ind w:firstLine="624"/>
        <w:rPr>
          <w:rFonts w:eastAsia="仿宋_GB2312"/>
          <w:spacing w:val="6"/>
          <w:sz w:val="30"/>
          <w:szCs w:val="30"/>
        </w:rPr>
      </w:pPr>
    </w:p>
    <w:p>
      <w:pPr>
        <w:spacing w:line="588" w:lineRule="exact"/>
        <w:ind w:firstLine="624"/>
        <w:rPr>
          <w:rFonts w:eastAsia="仿宋_GB2312"/>
          <w:spacing w:val="6"/>
          <w:sz w:val="30"/>
          <w:szCs w:val="30"/>
        </w:rPr>
      </w:pPr>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34" w:name="_Toc21690"/>
      <w:bookmarkStart w:id="35" w:name="_Toc15749"/>
      <w:r>
        <w:rPr>
          <w:rFonts w:eastAsia="仿宋_GB2312"/>
          <w:spacing w:val="6"/>
          <w:sz w:val="30"/>
          <w:szCs w:val="30"/>
        </w:rPr>
        <w:t>单位名称（盖章）：</w:t>
      </w:r>
      <w:bookmarkEnd w:id="34"/>
      <w:bookmarkEnd w:id="35"/>
    </w:p>
    <w:p>
      <w:pPr>
        <w:tabs>
          <w:tab w:val="left" w:pos="4860"/>
        </w:tabs>
        <w:spacing w:line="588" w:lineRule="exact"/>
        <w:ind w:right="1560" w:firstLine="624"/>
        <w:jc w:val="center"/>
        <w:outlineLvl w:val="0"/>
        <w:rPr>
          <w:rFonts w:eastAsia="仿宋_GB2312"/>
          <w:spacing w:val="6"/>
          <w:sz w:val="30"/>
          <w:szCs w:val="30"/>
        </w:rPr>
      </w:pPr>
      <w:r>
        <w:rPr>
          <w:rFonts w:eastAsia="仿宋_GB2312"/>
          <w:spacing w:val="6"/>
          <w:sz w:val="30"/>
          <w:szCs w:val="30"/>
        </w:rPr>
        <w:t xml:space="preserve">       </w:t>
      </w:r>
      <w:bookmarkStart w:id="36" w:name="_Toc8107"/>
      <w:bookmarkStart w:id="37" w:name="_Toc4804"/>
      <w:r>
        <w:rPr>
          <w:rFonts w:eastAsia="仿宋_GB2312"/>
          <w:spacing w:val="6"/>
          <w:sz w:val="30"/>
          <w:szCs w:val="30"/>
        </w:rPr>
        <w:t>日  期：</w:t>
      </w:r>
      <w:bookmarkEnd w:id="36"/>
      <w:bookmarkEnd w:id="37"/>
    </w:p>
    <w:p>
      <w:pPr>
        <w:widowControl/>
        <w:jc w:val="left"/>
        <w:rPr>
          <w:rFonts w:ascii="宋体" w:hAnsi="宋体"/>
          <w:bCs/>
          <w:color w:val="000000"/>
          <w:sz w:val="32"/>
          <w:szCs w:val="32"/>
        </w:rPr>
      </w:pPr>
      <w:r>
        <w:rPr>
          <w:rFonts w:ascii="宋体" w:hAnsi="宋体"/>
          <w:bCs/>
          <w:color w:val="000000"/>
          <w:sz w:val="32"/>
          <w:szCs w:val="32"/>
        </w:rPr>
        <w:br w:type="page"/>
      </w:r>
    </w:p>
    <w:p>
      <w:pPr>
        <w:ind w:firstLine="480" w:firstLineChars="200"/>
        <w:rPr>
          <w:sz w:val="24"/>
        </w:rPr>
      </w:pPr>
    </w:p>
    <w:p>
      <w:pPr>
        <w:ind w:firstLine="480" w:firstLineChars="200"/>
        <w:rPr>
          <w:sz w:val="24"/>
        </w:rPr>
      </w:pPr>
    </w:p>
    <w:p>
      <w:pPr>
        <w:ind w:firstLine="480" w:firstLineChars="200"/>
        <w:rPr>
          <w:sz w:val="24"/>
        </w:rPr>
      </w:pPr>
      <w:r>
        <w:rPr>
          <w:rFonts w:hint="eastAsia"/>
          <w:sz w:val="24"/>
        </w:rPr>
        <w:t>附件11-3</w:t>
      </w:r>
    </w:p>
    <w:p>
      <w:pPr>
        <w:tabs>
          <w:tab w:val="left" w:pos="7665"/>
        </w:tabs>
        <w:jc w:val="center"/>
        <w:outlineLvl w:val="1"/>
        <w:rPr>
          <w:rFonts w:ascii="宋体" w:hAnsi="宋体"/>
          <w:bCs/>
          <w:color w:val="000000"/>
          <w:sz w:val="32"/>
          <w:szCs w:val="32"/>
        </w:rPr>
      </w:pPr>
      <w:r>
        <w:rPr>
          <w:rFonts w:hint="eastAsia" w:ascii="宋体" w:hAnsi="宋体"/>
          <w:bCs/>
          <w:color w:val="000000"/>
          <w:sz w:val="32"/>
          <w:szCs w:val="32"/>
        </w:rPr>
        <w:t xml:space="preserve"> 省级以上监狱管理局、戒毒管理局（含新疆生产建设兵团）出具的属于监狱企业的证明文件</w:t>
      </w:r>
    </w:p>
    <w:p>
      <w:pPr>
        <w:pStyle w:val="16"/>
      </w:pPr>
    </w:p>
    <w:p>
      <w:pPr>
        <w:pStyle w:val="16"/>
      </w:pPr>
    </w:p>
    <w:p>
      <w:pPr>
        <w:widowControl/>
        <w:jc w:val="left"/>
        <w:rPr>
          <w:rFonts w:ascii="宋体" w:hAnsi="宋体"/>
          <w:bCs/>
          <w:color w:val="000000"/>
          <w:sz w:val="32"/>
          <w:szCs w:val="32"/>
        </w:rPr>
      </w:pPr>
      <w:r>
        <w:rPr>
          <w:rFonts w:ascii="宋体" w:hAnsi="宋体"/>
          <w:bCs/>
          <w:color w:val="000000"/>
          <w:sz w:val="32"/>
          <w:szCs w:val="32"/>
        </w:rPr>
        <w:br w:type="page"/>
      </w:r>
    </w:p>
    <w:p>
      <w:pPr>
        <w:tabs>
          <w:tab w:val="left" w:pos="7665"/>
        </w:tabs>
        <w:jc w:val="left"/>
        <w:outlineLvl w:val="1"/>
        <w:rPr>
          <w:rFonts w:ascii="宋体" w:hAnsi="宋体"/>
          <w:bCs/>
          <w:color w:val="000000"/>
          <w:sz w:val="32"/>
          <w:szCs w:val="32"/>
        </w:rPr>
      </w:pPr>
      <w:r>
        <w:rPr>
          <w:rFonts w:hint="eastAsia"/>
          <w:sz w:val="24"/>
        </w:rPr>
        <w:t>附件12</w:t>
      </w:r>
    </w:p>
    <w:p>
      <w:pPr>
        <w:tabs>
          <w:tab w:val="left" w:pos="7665"/>
        </w:tabs>
        <w:jc w:val="center"/>
        <w:outlineLvl w:val="1"/>
        <w:rPr>
          <w:color w:val="000000" w:themeColor="text1"/>
          <w14:textFill>
            <w14:solidFill>
              <w14:schemeClr w14:val="tx1"/>
            </w14:solidFill>
          </w14:textFill>
        </w:rPr>
      </w:pPr>
      <w:r>
        <w:rPr>
          <w:rFonts w:ascii="宋体" w:hAnsi="宋体"/>
          <w:bCs/>
          <w:color w:val="000000"/>
          <w:sz w:val="32"/>
          <w:szCs w:val="32"/>
        </w:rPr>
        <w:t>其他</w:t>
      </w:r>
      <w:r>
        <w:rPr>
          <w:rFonts w:hint="eastAsia" w:ascii="宋体" w:hAnsi="宋体"/>
          <w:bCs/>
          <w:color w:val="000000"/>
          <w:sz w:val="32"/>
          <w:szCs w:val="32"/>
        </w:rPr>
        <w:t>资格证明文件及</w:t>
      </w:r>
      <w:r>
        <w:rPr>
          <w:rFonts w:ascii="宋体" w:hAnsi="宋体"/>
          <w:bCs/>
          <w:color w:val="000000"/>
          <w:sz w:val="32"/>
          <w:szCs w:val="32"/>
        </w:rPr>
        <w:t>资料</w:t>
      </w:r>
    </w:p>
    <w:sectPr>
      <w:headerReference r:id="rId7" w:type="default"/>
      <w:footerReference r:id="rId8" w:type="default"/>
      <w:footerReference r:id="rId9" w:type="even"/>
      <w:pgSz w:w="11906" w:h="16838"/>
      <w:pgMar w:top="1440" w:right="141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Heiti SC Light">
    <w:altName w:val="Courier New"/>
    <w:panose1 w:val="00000000000000000000"/>
    <w:charset w:val="50"/>
    <w:family w:val="auto"/>
    <w:pitch w:val="default"/>
    <w:sig w:usb0="00000000" w:usb1="00000000" w:usb2="00000000" w:usb3="00000000" w:csb0="00000000" w:csb1="00000000"/>
  </w:font>
  <w:font w:name="Consolas">
    <w:panose1 w:val="020B0609020204030204"/>
    <w:charset w:val="00"/>
    <w:family w:val="modern"/>
    <w:pitch w:val="default"/>
    <w:sig w:usb0="E00006FF" w:usb1="0000FCFF" w:usb2="00000001" w:usb3="00000000" w:csb0="6000019F" w:csb1="DFD7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504020202020204"/>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center" w:pos="4366"/>
        <w:tab w:val="right" w:pos="8852"/>
      </w:tabs>
      <w:rPr>
        <w:u w:val="single"/>
      </w:rPr>
    </w:pPr>
    <w:r>
      <w:rPr>
        <w:rFonts w:hint="eastAsia"/>
        <w:u w:val="single"/>
      </w:rPr>
      <w:t xml:space="preserve">                                                                                                 </w:t>
    </w:r>
  </w:p>
  <w:p>
    <w:pPr>
      <w:pStyle w:val="21"/>
      <w:tabs>
        <w:tab w:val="center" w:pos="4366"/>
        <w:tab w:val="right" w:pos="8852"/>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rPr>
      <w:tab/>
    </w:r>
    <w:r>
      <w:rPr>
        <w:rFonts w:hint="eastAsia"/>
      </w:rPr>
      <w:tab/>
    </w:r>
    <w:r>
      <w:rPr>
        <w:rFonts w:hint="eastAsia"/>
      </w:rPr>
      <w:tab/>
    </w:r>
    <w:r>
      <w:rPr>
        <w:rFonts w:hint="eastAsia"/>
        <w:u w:val="single"/>
        <w:lang w:eastAsia="zh-CN"/>
      </w:rPr>
      <w:t>武汉安平天志工程咨询有限公司</w:t>
    </w:r>
    <w:r>
      <w:rPr>
        <w:rFonts w:hint="eastAsia"/>
        <w:u w:val="single"/>
      </w:rPr>
      <w:t>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21</w:t>
                    </w:r>
                    <w:r>
                      <w:fldChar w:fldCharType="end"/>
                    </w:r>
                  </w:p>
                </w:txbxContent>
              </v:textbox>
            </v:shape>
          </w:pict>
        </mc:Fallback>
      </mc:AlternateContent>
    </w:r>
    <w:r>
      <w:rPr>
        <w:rFonts w:hint="eastAsia"/>
        <w:lang w:eastAsia="zh-CN"/>
      </w:rPr>
      <w:t>武汉安平天志工程咨询有限公司</w:t>
    </w:r>
    <w:r>
      <w:rPr>
        <w:rFonts w:hint="eastAsia"/>
      </w:rPr>
      <w:t>制</w:t>
    </w:r>
  </w:p>
  <w:p>
    <w:pPr>
      <w:pStyle w:val="21"/>
      <w:pBdr>
        <w:top w:val="single" w:color="000000" w:themeColor="text1" w:sz="4" w:space="1"/>
      </w:pBdr>
      <w:tabs>
        <w:tab w:val="clear" w:pos="4153"/>
        <w:tab w:val="clear" w:pos="8306"/>
      </w:tabs>
      <w:ind w:right="-9" w:firstLine="360" w:firstLineChars="200"/>
      <w:jc w:val="both"/>
    </w:pPr>
  </w:p>
  <w:p>
    <w:pPr>
      <w:pStyle w:val="2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 xml:space="preserve">                                                                     </w:t>
    </w:r>
  </w:p>
  <w:p>
    <w:pPr>
      <w:pStyle w:val="21"/>
      <w:jc w:val="right"/>
      <w:rPr>
        <w:u w:val="single"/>
      </w:rPr>
    </w:pPr>
    <w:r>
      <w:rPr>
        <w:u w:val="single"/>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1"/>
                    </w:pPr>
                    <w:r>
                      <w:fldChar w:fldCharType="begin"/>
                    </w:r>
                    <w:r>
                      <w:instrText xml:space="preserve"> PAGE  \* MERGEFORMAT </w:instrText>
                    </w:r>
                    <w:r>
                      <w:fldChar w:fldCharType="separate"/>
                    </w:r>
                    <w:r>
                      <w:t>42</w:t>
                    </w:r>
                    <w:r>
                      <w:fldChar w:fldCharType="end"/>
                    </w:r>
                  </w:p>
                </w:txbxContent>
              </v:textbox>
            </v:shape>
          </w:pict>
        </mc:Fallback>
      </mc:AlternateContent>
    </w:r>
    <w:r>
      <w:rPr>
        <w:rFonts w:hint="eastAsia"/>
        <w:u w:val="single"/>
        <w:lang w:eastAsia="zh-CN"/>
      </w:rPr>
      <w:t>武汉安平天志工程咨询有限公司</w:t>
    </w:r>
    <w:r>
      <w:rPr>
        <w:rFonts w:hint="eastAsia"/>
        <w:u w:val="single"/>
      </w:rPr>
      <w:t>制</w:t>
    </w:r>
  </w:p>
  <w:p>
    <w:pPr>
      <w:pStyle w:val="21"/>
      <w:jc w:val="center"/>
      <w:rPr>
        <w:u w:val="single"/>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right" w:y="1"/>
      <w:rPr>
        <w:rStyle w:val="33"/>
      </w:rPr>
    </w:pPr>
    <w:r>
      <w:rPr>
        <w:rStyle w:val="33"/>
      </w:rPr>
      <w:fldChar w:fldCharType="begin"/>
    </w:r>
    <w:r>
      <w:rPr>
        <w:rStyle w:val="33"/>
      </w:rPr>
      <w:instrText xml:space="preserve">PAGE  </w:instrText>
    </w:r>
    <w:r>
      <w:rPr>
        <w:rStyle w:val="33"/>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rFonts w:ascii="华文中宋" w:hAnsi="华文中宋" w:eastAsia="华文中宋"/>
        <w:sz w:val="22"/>
        <w:szCs w:val="20"/>
      </w:rPr>
    </w:pPr>
  </w:p>
  <w:p>
    <w:pPr>
      <w:pStyle w:val="22"/>
      <w:jc w:val="left"/>
      <w:rPr>
        <w:rFonts w:ascii="华文中宋" w:hAnsi="华文中宋" w:eastAsia="华文中宋"/>
        <w:sz w:val="22"/>
        <w:szCs w:val="20"/>
      </w:rPr>
    </w:pPr>
  </w:p>
  <w:p>
    <w:pPr>
      <w:pStyle w:val="22"/>
      <w:jc w:val="left"/>
      <w:rPr>
        <w:rFonts w:ascii="华文中宋" w:hAnsi="华文中宋" w:eastAsia="华文中宋"/>
        <w:sz w:val="22"/>
        <w:szCs w:val="20"/>
      </w:rPr>
    </w:pPr>
    <w:r>
      <w:rPr>
        <w:rFonts w:hint="eastAsia" w:ascii="华文中宋" w:hAnsi="华文中宋" w:eastAsia="华文中宋"/>
        <w:sz w:val="22"/>
        <w:szCs w:val="20"/>
      </w:rPr>
      <w:t>阳新县洋港镇崩山村关停煤矿地下水综合治理项目专项水文地质勘察服务项目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rPr>
        <w:sz w:val="13"/>
        <w:szCs w:val="13"/>
      </w:rPr>
    </w:pPr>
    <w:r>
      <w:rPr>
        <w:rFonts w:hint="eastAsia" w:ascii="华文中宋" w:hAnsi="华文中宋" w:eastAsia="华文中宋"/>
        <w:sz w:val="22"/>
        <w:szCs w:val="20"/>
      </w:rPr>
      <w:t>阳新县洋港镇崩山村关停煤矿地下水综合治理项目专项水文地质勘察服务项目竞争性磋商文件</w:t>
    </w:r>
  </w:p>
  <w:p>
    <w:pPr>
      <w:pStyle w:val="22"/>
      <w:pBdr>
        <w:bottom w:val="none" w:color="auto" w:sz="0" w:space="0"/>
      </w:pBdr>
      <w:ind w:left="-7" w:firstLine="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88B902"/>
    <w:multiLevelType w:val="multilevel"/>
    <w:tmpl w:val="9288B902"/>
    <w:lvl w:ilvl="0" w:tentative="0">
      <w:start w:val="1"/>
      <w:numFmt w:val="decimal"/>
      <w:lvlText w:val="%1."/>
      <w:lvlJc w:val="left"/>
      <w:pPr>
        <w:ind w:left="107" w:hanging="159"/>
        <w:jc w:val="left"/>
      </w:pPr>
      <w:rPr>
        <w:rFonts w:hint="default"/>
        <w:spacing w:val="0"/>
        <w:w w:val="99"/>
        <w:lang w:val="zh-CN" w:eastAsia="zh-CN" w:bidi="zh-CN"/>
      </w:rPr>
    </w:lvl>
    <w:lvl w:ilvl="1" w:tentative="0">
      <w:start w:val="0"/>
      <w:numFmt w:val="bullet"/>
      <w:lvlText w:val="•"/>
      <w:lvlJc w:val="left"/>
      <w:pPr>
        <w:ind w:left="869" w:hanging="159"/>
      </w:pPr>
      <w:rPr>
        <w:rFonts w:hint="default"/>
        <w:lang w:val="zh-CN" w:eastAsia="zh-CN" w:bidi="zh-CN"/>
      </w:rPr>
    </w:lvl>
    <w:lvl w:ilvl="2" w:tentative="0">
      <w:start w:val="0"/>
      <w:numFmt w:val="bullet"/>
      <w:lvlText w:val="•"/>
      <w:lvlJc w:val="left"/>
      <w:pPr>
        <w:ind w:left="1638" w:hanging="159"/>
      </w:pPr>
      <w:rPr>
        <w:rFonts w:hint="default"/>
        <w:lang w:val="zh-CN" w:eastAsia="zh-CN" w:bidi="zh-CN"/>
      </w:rPr>
    </w:lvl>
    <w:lvl w:ilvl="3" w:tentative="0">
      <w:start w:val="0"/>
      <w:numFmt w:val="bullet"/>
      <w:lvlText w:val="•"/>
      <w:lvlJc w:val="left"/>
      <w:pPr>
        <w:ind w:left="2408" w:hanging="159"/>
      </w:pPr>
      <w:rPr>
        <w:rFonts w:hint="default"/>
        <w:lang w:val="zh-CN" w:eastAsia="zh-CN" w:bidi="zh-CN"/>
      </w:rPr>
    </w:lvl>
    <w:lvl w:ilvl="4" w:tentative="0">
      <w:start w:val="0"/>
      <w:numFmt w:val="bullet"/>
      <w:lvlText w:val="•"/>
      <w:lvlJc w:val="left"/>
      <w:pPr>
        <w:ind w:left="3177" w:hanging="159"/>
      </w:pPr>
      <w:rPr>
        <w:rFonts w:hint="default"/>
        <w:lang w:val="zh-CN" w:eastAsia="zh-CN" w:bidi="zh-CN"/>
      </w:rPr>
    </w:lvl>
    <w:lvl w:ilvl="5" w:tentative="0">
      <w:start w:val="0"/>
      <w:numFmt w:val="bullet"/>
      <w:lvlText w:val="•"/>
      <w:lvlJc w:val="left"/>
      <w:pPr>
        <w:ind w:left="3947" w:hanging="159"/>
      </w:pPr>
      <w:rPr>
        <w:rFonts w:hint="default"/>
        <w:lang w:val="zh-CN" w:eastAsia="zh-CN" w:bidi="zh-CN"/>
      </w:rPr>
    </w:lvl>
    <w:lvl w:ilvl="6" w:tentative="0">
      <w:start w:val="0"/>
      <w:numFmt w:val="bullet"/>
      <w:lvlText w:val="•"/>
      <w:lvlJc w:val="left"/>
      <w:pPr>
        <w:ind w:left="4716" w:hanging="159"/>
      </w:pPr>
      <w:rPr>
        <w:rFonts w:hint="default"/>
        <w:lang w:val="zh-CN" w:eastAsia="zh-CN" w:bidi="zh-CN"/>
      </w:rPr>
    </w:lvl>
    <w:lvl w:ilvl="7" w:tentative="0">
      <w:start w:val="0"/>
      <w:numFmt w:val="bullet"/>
      <w:lvlText w:val="•"/>
      <w:lvlJc w:val="left"/>
      <w:pPr>
        <w:ind w:left="5485" w:hanging="159"/>
      </w:pPr>
      <w:rPr>
        <w:rFonts w:hint="default"/>
        <w:lang w:val="zh-CN" w:eastAsia="zh-CN" w:bidi="zh-CN"/>
      </w:rPr>
    </w:lvl>
    <w:lvl w:ilvl="8" w:tentative="0">
      <w:start w:val="0"/>
      <w:numFmt w:val="bullet"/>
      <w:lvlText w:val="•"/>
      <w:lvlJc w:val="left"/>
      <w:pPr>
        <w:ind w:left="6255" w:hanging="159"/>
      </w:pPr>
      <w:rPr>
        <w:rFonts w:hint="default"/>
        <w:lang w:val="zh-CN" w:eastAsia="zh-CN" w:bidi="zh-CN"/>
      </w:rPr>
    </w:lvl>
  </w:abstractNum>
  <w:abstractNum w:abstractNumId="1">
    <w:nsid w:val="989CEF1B"/>
    <w:multiLevelType w:val="singleLevel"/>
    <w:tmpl w:val="989CEF1B"/>
    <w:lvl w:ilvl="0" w:tentative="0">
      <w:start w:val="1"/>
      <w:numFmt w:val="decimal"/>
      <w:suff w:val="nothing"/>
      <w:lvlText w:val="（%1）"/>
      <w:lvlJc w:val="left"/>
    </w:lvl>
  </w:abstractNum>
  <w:abstractNum w:abstractNumId="2">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3">
    <w:nsid w:val="258B712F"/>
    <w:multiLevelType w:val="singleLevel"/>
    <w:tmpl w:val="258B712F"/>
    <w:lvl w:ilvl="0" w:tentative="0">
      <w:start w:val="6"/>
      <w:numFmt w:val="decimal"/>
      <w:suff w:val="space"/>
      <w:lvlText w:val="%1."/>
      <w:lvlJc w:val="left"/>
    </w:lvl>
  </w:abstractNum>
  <w:abstractNum w:abstractNumId="4">
    <w:nsid w:val="29F46660"/>
    <w:multiLevelType w:val="singleLevel"/>
    <w:tmpl w:val="29F46660"/>
    <w:lvl w:ilvl="0" w:tentative="0">
      <w:start w:val="1"/>
      <w:numFmt w:val="decimal"/>
      <w:lvlText w:val="(%1)"/>
      <w:lvlJc w:val="left"/>
      <w:pPr>
        <w:ind w:left="425" w:hanging="425"/>
      </w:pPr>
      <w:rPr>
        <w:rFonts w:hint="default"/>
      </w:rPr>
    </w:lvl>
  </w:abstractNum>
  <w:abstractNum w:abstractNumId="5">
    <w:nsid w:val="39A0D9AC"/>
    <w:multiLevelType w:val="multilevel"/>
    <w:tmpl w:val="39A0D9AC"/>
    <w:lvl w:ilvl="0" w:tentative="0">
      <w:start w:val="1"/>
      <w:numFmt w:val="decimal"/>
      <w:lvlText w:val="%1."/>
      <w:lvlJc w:val="left"/>
      <w:pPr>
        <w:ind w:left="107" w:hanging="159"/>
        <w:jc w:val="left"/>
      </w:pPr>
      <w:rPr>
        <w:rFonts w:hint="default" w:ascii="Times New Roman" w:hAnsi="Times New Roman" w:eastAsia="Times New Roman" w:cs="Times New Roman"/>
        <w:spacing w:val="0"/>
        <w:w w:val="99"/>
        <w:sz w:val="19"/>
        <w:szCs w:val="19"/>
        <w:lang w:val="zh-CN" w:eastAsia="zh-CN" w:bidi="zh-CN"/>
      </w:rPr>
    </w:lvl>
    <w:lvl w:ilvl="1" w:tentative="0">
      <w:start w:val="0"/>
      <w:numFmt w:val="bullet"/>
      <w:lvlText w:val="•"/>
      <w:lvlJc w:val="left"/>
      <w:pPr>
        <w:ind w:left="869" w:hanging="159"/>
      </w:pPr>
      <w:rPr>
        <w:rFonts w:hint="default"/>
        <w:lang w:val="zh-CN" w:eastAsia="zh-CN" w:bidi="zh-CN"/>
      </w:rPr>
    </w:lvl>
    <w:lvl w:ilvl="2" w:tentative="0">
      <w:start w:val="0"/>
      <w:numFmt w:val="bullet"/>
      <w:lvlText w:val="•"/>
      <w:lvlJc w:val="left"/>
      <w:pPr>
        <w:ind w:left="1638" w:hanging="159"/>
      </w:pPr>
      <w:rPr>
        <w:rFonts w:hint="default"/>
        <w:lang w:val="zh-CN" w:eastAsia="zh-CN" w:bidi="zh-CN"/>
      </w:rPr>
    </w:lvl>
    <w:lvl w:ilvl="3" w:tentative="0">
      <w:start w:val="0"/>
      <w:numFmt w:val="bullet"/>
      <w:lvlText w:val="•"/>
      <w:lvlJc w:val="left"/>
      <w:pPr>
        <w:ind w:left="2408" w:hanging="159"/>
      </w:pPr>
      <w:rPr>
        <w:rFonts w:hint="default"/>
        <w:lang w:val="zh-CN" w:eastAsia="zh-CN" w:bidi="zh-CN"/>
      </w:rPr>
    </w:lvl>
    <w:lvl w:ilvl="4" w:tentative="0">
      <w:start w:val="0"/>
      <w:numFmt w:val="bullet"/>
      <w:lvlText w:val="•"/>
      <w:lvlJc w:val="left"/>
      <w:pPr>
        <w:ind w:left="3177" w:hanging="159"/>
      </w:pPr>
      <w:rPr>
        <w:rFonts w:hint="default"/>
        <w:lang w:val="zh-CN" w:eastAsia="zh-CN" w:bidi="zh-CN"/>
      </w:rPr>
    </w:lvl>
    <w:lvl w:ilvl="5" w:tentative="0">
      <w:start w:val="0"/>
      <w:numFmt w:val="bullet"/>
      <w:lvlText w:val="•"/>
      <w:lvlJc w:val="left"/>
      <w:pPr>
        <w:ind w:left="3947" w:hanging="159"/>
      </w:pPr>
      <w:rPr>
        <w:rFonts w:hint="default"/>
        <w:lang w:val="zh-CN" w:eastAsia="zh-CN" w:bidi="zh-CN"/>
      </w:rPr>
    </w:lvl>
    <w:lvl w:ilvl="6" w:tentative="0">
      <w:start w:val="0"/>
      <w:numFmt w:val="bullet"/>
      <w:lvlText w:val="•"/>
      <w:lvlJc w:val="left"/>
      <w:pPr>
        <w:ind w:left="4716" w:hanging="159"/>
      </w:pPr>
      <w:rPr>
        <w:rFonts w:hint="default"/>
        <w:lang w:val="zh-CN" w:eastAsia="zh-CN" w:bidi="zh-CN"/>
      </w:rPr>
    </w:lvl>
    <w:lvl w:ilvl="7" w:tentative="0">
      <w:start w:val="0"/>
      <w:numFmt w:val="bullet"/>
      <w:lvlText w:val="•"/>
      <w:lvlJc w:val="left"/>
      <w:pPr>
        <w:ind w:left="5485" w:hanging="159"/>
      </w:pPr>
      <w:rPr>
        <w:rFonts w:hint="default"/>
        <w:lang w:val="zh-CN" w:eastAsia="zh-CN" w:bidi="zh-CN"/>
      </w:rPr>
    </w:lvl>
    <w:lvl w:ilvl="8" w:tentative="0">
      <w:start w:val="0"/>
      <w:numFmt w:val="bullet"/>
      <w:lvlText w:val="•"/>
      <w:lvlJc w:val="left"/>
      <w:pPr>
        <w:ind w:left="6255" w:hanging="159"/>
      </w:pPr>
      <w:rPr>
        <w:rFonts w:hint="default"/>
        <w:lang w:val="zh-CN" w:eastAsia="zh-CN" w:bidi="zh-CN"/>
      </w:rPr>
    </w:lvl>
  </w:abstractNum>
  <w:abstractNum w:abstractNumId="6">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7">
    <w:nsid w:val="5C340DB2"/>
    <w:multiLevelType w:val="multilevel"/>
    <w:tmpl w:val="5C340DB2"/>
    <w:lvl w:ilvl="0" w:tentative="0">
      <w:start w:val="1"/>
      <w:numFmt w:val="decimal"/>
      <w:lvlText w:val="（%1）"/>
      <w:lvlJc w:val="left"/>
      <w:pPr>
        <w:ind w:left="1080" w:hanging="60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629D605E"/>
    <w:multiLevelType w:val="multilevel"/>
    <w:tmpl w:val="629D605E"/>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90D2CF4"/>
    <w:multiLevelType w:val="multilevel"/>
    <w:tmpl w:val="790D2CF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2"/>
  </w:num>
  <w:num w:numId="3">
    <w:abstractNumId w:val="3"/>
  </w:num>
  <w:num w:numId="4">
    <w:abstractNumId w:val="8"/>
  </w:num>
  <w:num w:numId="5">
    <w:abstractNumId w:val="7"/>
  </w:num>
  <w:num w:numId="6">
    <w:abstractNumId w:val="4"/>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iYmFlNTJjY2MzMWE3YzhjNGZkMTYyZTcwZTJjMDYifQ=="/>
  </w:docVars>
  <w:rsids>
    <w:rsidRoot w:val="00B10CEE"/>
    <w:rsid w:val="00005DE5"/>
    <w:rsid w:val="000177F1"/>
    <w:rsid w:val="0002385B"/>
    <w:rsid w:val="00024E1A"/>
    <w:rsid w:val="00026127"/>
    <w:rsid w:val="000320DE"/>
    <w:rsid w:val="000328A4"/>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511"/>
    <w:rsid w:val="000E0F4B"/>
    <w:rsid w:val="000E161F"/>
    <w:rsid w:val="000E41DF"/>
    <w:rsid w:val="000F5347"/>
    <w:rsid w:val="001014B4"/>
    <w:rsid w:val="0010409B"/>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2598"/>
    <w:rsid w:val="001C3B1B"/>
    <w:rsid w:val="001D06A7"/>
    <w:rsid w:val="001D52B3"/>
    <w:rsid w:val="001D5BAD"/>
    <w:rsid w:val="001E365D"/>
    <w:rsid w:val="001F0893"/>
    <w:rsid w:val="00206EAC"/>
    <w:rsid w:val="00212BB5"/>
    <w:rsid w:val="00213318"/>
    <w:rsid w:val="00215E42"/>
    <w:rsid w:val="00236ACA"/>
    <w:rsid w:val="00270F16"/>
    <w:rsid w:val="00271374"/>
    <w:rsid w:val="002A6568"/>
    <w:rsid w:val="002B003F"/>
    <w:rsid w:val="002B43FE"/>
    <w:rsid w:val="002E50FF"/>
    <w:rsid w:val="002E77B5"/>
    <w:rsid w:val="002F057F"/>
    <w:rsid w:val="002F22C6"/>
    <w:rsid w:val="002F2C4C"/>
    <w:rsid w:val="002F4450"/>
    <w:rsid w:val="00301606"/>
    <w:rsid w:val="00322166"/>
    <w:rsid w:val="003325EE"/>
    <w:rsid w:val="003329D9"/>
    <w:rsid w:val="0033742E"/>
    <w:rsid w:val="00343CD2"/>
    <w:rsid w:val="00345330"/>
    <w:rsid w:val="0034601D"/>
    <w:rsid w:val="00352077"/>
    <w:rsid w:val="003577B6"/>
    <w:rsid w:val="00367552"/>
    <w:rsid w:val="00370D67"/>
    <w:rsid w:val="003778E0"/>
    <w:rsid w:val="003A16BC"/>
    <w:rsid w:val="003A33A7"/>
    <w:rsid w:val="003A7A9A"/>
    <w:rsid w:val="003B4880"/>
    <w:rsid w:val="003B7BF3"/>
    <w:rsid w:val="003C2BF2"/>
    <w:rsid w:val="003C4D79"/>
    <w:rsid w:val="003C6C22"/>
    <w:rsid w:val="003D133C"/>
    <w:rsid w:val="003D29A4"/>
    <w:rsid w:val="003D6B22"/>
    <w:rsid w:val="003E2520"/>
    <w:rsid w:val="003F50DE"/>
    <w:rsid w:val="00402CEB"/>
    <w:rsid w:val="004121CD"/>
    <w:rsid w:val="00433066"/>
    <w:rsid w:val="004601AA"/>
    <w:rsid w:val="00461AA3"/>
    <w:rsid w:val="004631F7"/>
    <w:rsid w:val="00467A55"/>
    <w:rsid w:val="004702C0"/>
    <w:rsid w:val="00482074"/>
    <w:rsid w:val="004845E2"/>
    <w:rsid w:val="00487B68"/>
    <w:rsid w:val="00491219"/>
    <w:rsid w:val="00493214"/>
    <w:rsid w:val="004A4C07"/>
    <w:rsid w:val="004A628D"/>
    <w:rsid w:val="004B1581"/>
    <w:rsid w:val="004B30C5"/>
    <w:rsid w:val="004B6F6A"/>
    <w:rsid w:val="004C4C24"/>
    <w:rsid w:val="004D56FD"/>
    <w:rsid w:val="004E01E8"/>
    <w:rsid w:val="004E0CD3"/>
    <w:rsid w:val="004F12D5"/>
    <w:rsid w:val="00506857"/>
    <w:rsid w:val="005162B9"/>
    <w:rsid w:val="005305AF"/>
    <w:rsid w:val="0054059E"/>
    <w:rsid w:val="005466BB"/>
    <w:rsid w:val="00553914"/>
    <w:rsid w:val="005569C8"/>
    <w:rsid w:val="00560C50"/>
    <w:rsid w:val="00561949"/>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382B"/>
    <w:rsid w:val="00625ADB"/>
    <w:rsid w:val="00631884"/>
    <w:rsid w:val="00636576"/>
    <w:rsid w:val="00641CF1"/>
    <w:rsid w:val="00646836"/>
    <w:rsid w:val="00652CB3"/>
    <w:rsid w:val="0066645A"/>
    <w:rsid w:val="0066685A"/>
    <w:rsid w:val="00666BBB"/>
    <w:rsid w:val="0067140B"/>
    <w:rsid w:val="0067700A"/>
    <w:rsid w:val="00691AF9"/>
    <w:rsid w:val="00692F82"/>
    <w:rsid w:val="00694469"/>
    <w:rsid w:val="006950A7"/>
    <w:rsid w:val="00695E1A"/>
    <w:rsid w:val="006A1281"/>
    <w:rsid w:val="006A573C"/>
    <w:rsid w:val="006B18AC"/>
    <w:rsid w:val="006B3F65"/>
    <w:rsid w:val="006C2191"/>
    <w:rsid w:val="006C24F6"/>
    <w:rsid w:val="006D1686"/>
    <w:rsid w:val="006D3F78"/>
    <w:rsid w:val="006D699F"/>
    <w:rsid w:val="006E037A"/>
    <w:rsid w:val="006E0B88"/>
    <w:rsid w:val="006E44BA"/>
    <w:rsid w:val="006E4AD9"/>
    <w:rsid w:val="006E548F"/>
    <w:rsid w:val="0071611D"/>
    <w:rsid w:val="00723248"/>
    <w:rsid w:val="00733253"/>
    <w:rsid w:val="00735BFF"/>
    <w:rsid w:val="00740F07"/>
    <w:rsid w:val="00741CFF"/>
    <w:rsid w:val="00743C97"/>
    <w:rsid w:val="00751368"/>
    <w:rsid w:val="00751D76"/>
    <w:rsid w:val="00754E0A"/>
    <w:rsid w:val="00766B73"/>
    <w:rsid w:val="00784E0E"/>
    <w:rsid w:val="007A4516"/>
    <w:rsid w:val="007C0B2D"/>
    <w:rsid w:val="007C44B1"/>
    <w:rsid w:val="007C5316"/>
    <w:rsid w:val="007C67FD"/>
    <w:rsid w:val="007D3D90"/>
    <w:rsid w:val="007D7E94"/>
    <w:rsid w:val="007E173B"/>
    <w:rsid w:val="007E2328"/>
    <w:rsid w:val="007F5F9E"/>
    <w:rsid w:val="00801764"/>
    <w:rsid w:val="00812748"/>
    <w:rsid w:val="00824951"/>
    <w:rsid w:val="00831577"/>
    <w:rsid w:val="00832F19"/>
    <w:rsid w:val="008338A4"/>
    <w:rsid w:val="00833F78"/>
    <w:rsid w:val="00837418"/>
    <w:rsid w:val="00840B01"/>
    <w:rsid w:val="00840E22"/>
    <w:rsid w:val="00842284"/>
    <w:rsid w:val="008433C2"/>
    <w:rsid w:val="00872177"/>
    <w:rsid w:val="00872C3F"/>
    <w:rsid w:val="008778EE"/>
    <w:rsid w:val="0088104E"/>
    <w:rsid w:val="0089007C"/>
    <w:rsid w:val="00891340"/>
    <w:rsid w:val="00892B2A"/>
    <w:rsid w:val="00897533"/>
    <w:rsid w:val="008B36CC"/>
    <w:rsid w:val="008B403B"/>
    <w:rsid w:val="008C07DA"/>
    <w:rsid w:val="008C6D19"/>
    <w:rsid w:val="008C78A9"/>
    <w:rsid w:val="008C7EDC"/>
    <w:rsid w:val="008D310D"/>
    <w:rsid w:val="008E41C6"/>
    <w:rsid w:val="008F57E8"/>
    <w:rsid w:val="00902D06"/>
    <w:rsid w:val="00912A90"/>
    <w:rsid w:val="009224B9"/>
    <w:rsid w:val="00925A4E"/>
    <w:rsid w:val="00945F7B"/>
    <w:rsid w:val="00950E14"/>
    <w:rsid w:val="00962F07"/>
    <w:rsid w:val="00971840"/>
    <w:rsid w:val="00972A7E"/>
    <w:rsid w:val="00974044"/>
    <w:rsid w:val="00982221"/>
    <w:rsid w:val="00984E56"/>
    <w:rsid w:val="009946F7"/>
    <w:rsid w:val="009A0A20"/>
    <w:rsid w:val="009A1D1A"/>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D27"/>
    <w:rsid w:val="00A21260"/>
    <w:rsid w:val="00A3361A"/>
    <w:rsid w:val="00A34463"/>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468"/>
    <w:rsid w:val="00AC2841"/>
    <w:rsid w:val="00AC342E"/>
    <w:rsid w:val="00AC691A"/>
    <w:rsid w:val="00AD38BD"/>
    <w:rsid w:val="00AE69B6"/>
    <w:rsid w:val="00AE7877"/>
    <w:rsid w:val="00AF5576"/>
    <w:rsid w:val="00B0636C"/>
    <w:rsid w:val="00B10CEE"/>
    <w:rsid w:val="00B14395"/>
    <w:rsid w:val="00B15450"/>
    <w:rsid w:val="00B22C0F"/>
    <w:rsid w:val="00B247EE"/>
    <w:rsid w:val="00B42733"/>
    <w:rsid w:val="00B427DB"/>
    <w:rsid w:val="00B442BA"/>
    <w:rsid w:val="00B445A6"/>
    <w:rsid w:val="00B4490C"/>
    <w:rsid w:val="00B5126F"/>
    <w:rsid w:val="00B637E4"/>
    <w:rsid w:val="00B658A1"/>
    <w:rsid w:val="00B80F6E"/>
    <w:rsid w:val="00BA092B"/>
    <w:rsid w:val="00BB09DF"/>
    <w:rsid w:val="00BC7360"/>
    <w:rsid w:val="00BD014E"/>
    <w:rsid w:val="00BE09DD"/>
    <w:rsid w:val="00BE6DC4"/>
    <w:rsid w:val="00C016BF"/>
    <w:rsid w:val="00C11B2E"/>
    <w:rsid w:val="00C12E41"/>
    <w:rsid w:val="00C27B89"/>
    <w:rsid w:val="00C353C6"/>
    <w:rsid w:val="00C440DA"/>
    <w:rsid w:val="00C44A0A"/>
    <w:rsid w:val="00C47BFB"/>
    <w:rsid w:val="00C53AFF"/>
    <w:rsid w:val="00C60A53"/>
    <w:rsid w:val="00C635C3"/>
    <w:rsid w:val="00C63F6C"/>
    <w:rsid w:val="00C75A13"/>
    <w:rsid w:val="00C8075B"/>
    <w:rsid w:val="00C87726"/>
    <w:rsid w:val="00C904A3"/>
    <w:rsid w:val="00C93A67"/>
    <w:rsid w:val="00C95955"/>
    <w:rsid w:val="00CA5F94"/>
    <w:rsid w:val="00CB458D"/>
    <w:rsid w:val="00CB49C6"/>
    <w:rsid w:val="00CB6B36"/>
    <w:rsid w:val="00CC0B6D"/>
    <w:rsid w:val="00CC73A4"/>
    <w:rsid w:val="00CD1FC4"/>
    <w:rsid w:val="00CE47A6"/>
    <w:rsid w:val="00CE6AA9"/>
    <w:rsid w:val="00CF04D2"/>
    <w:rsid w:val="00CF17AC"/>
    <w:rsid w:val="00D02EBB"/>
    <w:rsid w:val="00D235CB"/>
    <w:rsid w:val="00D404AE"/>
    <w:rsid w:val="00D43DA9"/>
    <w:rsid w:val="00D46155"/>
    <w:rsid w:val="00D509A3"/>
    <w:rsid w:val="00D53242"/>
    <w:rsid w:val="00D53484"/>
    <w:rsid w:val="00D53B2D"/>
    <w:rsid w:val="00D56690"/>
    <w:rsid w:val="00D66FAC"/>
    <w:rsid w:val="00D71C8E"/>
    <w:rsid w:val="00D74E7D"/>
    <w:rsid w:val="00DE01BE"/>
    <w:rsid w:val="00DE287A"/>
    <w:rsid w:val="00DF0F26"/>
    <w:rsid w:val="00DF7C2F"/>
    <w:rsid w:val="00E04346"/>
    <w:rsid w:val="00E14719"/>
    <w:rsid w:val="00E226F3"/>
    <w:rsid w:val="00E24FB2"/>
    <w:rsid w:val="00E45EBF"/>
    <w:rsid w:val="00E513EB"/>
    <w:rsid w:val="00E62680"/>
    <w:rsid w:val="00E653C9"/>
    <w:rsid w:val="00E70662"/>
    <w:rsid w:val="00EA1AEA"/>
    <w:rsid w:val="00EA3C4A"/>
    <w:rsid w:val="00EA5809"/>
    <w:rsid w:val="00EB39FE"/>
    <w:rsid w:val="00EC0AA5"/>
    <w:rsid w:val="00ED1F66"/>
    <w:rsid w:val="00ED2180"/>
    <w:rsid w:val="00ED3DD9"/>
    <w:rsid w:val="00EE2D0A"/>
    <w:rsid w:val="00EE48A1"/>
    <w:rsid w:val="00EE61CD"/>
    <w:rsid w:val="00EE63B1"/>
    <w:rsid w:val="00EF3523"/>
    <w:rsid w:val="00F01ACB"/>
    <w:rsid w:val="00F049B6"/>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8C6"/>
    <w:rsid w:val="00FC1453"/>
    <w:rsid w:val="00FD0892"/>
    <w:rsid w:val="00FD27C7"/>
    <w:rsid w:val="00FE026B"/>
    <w:rsid w:val="00FE5A8A"/>
    <w:rsid w:val="00FF0CBB"/>
    <w:rsid w:val="00FF1DE8"/>
    <w:rsid w:val="00FF6097"/>
    <w:rsid w:val="015B4C22"/>
    <w:rsid w:val="01753399"/>
    <w:rsid w:val="01996F91"/>
    <w:rsid w:val="01B61BB5"/>
    <w:rsid w:val="01DC00DA"/>
    <w:rsid w:val="01FE5971"/>
    <w:rsid w:val="02590A70"/>
    <w:rsid w:val="025D3B3F"/>
    <w:rsid w:val="026A49F7"/>
    <w:rsid w:val="026F45B1"/>
    <w:rsid w:val="027E350A"/>
    <w:rsid w:val="028D569E"/>
    <w:rsid w:val="029241D3"/>
    <w:rsid w:val="02A95F54"/>
    <w:rsid w:val="02C3729E"/>
    <w:rsid w:val="02F066B4"/>
    <w:rsid w:val="03104794"/>
    <w:rsid w:val="03213E9C"/>
    <w:rsid w:val="032B4964"/>
    <w:rsid w:val="03306485"/>
    <w:rsid w:val="03430740"/>
    <w:rsid w:val="03A32FEC"/>
    <w:rsid w:val="03D00A9E"/>
    <w:rsid w:val="03D015C3"/>
    <w:rsid w:val="03D0311B"/>
    <w:rsid w:val="03D9125A"/>
    <w:rsid w:val="03DD1CE2"/>
    <w:rsid w:val="04090D29"/>
    <w:rsid w:val="040E2104"/>
    <w:rsid w:val="04511135"/>
    <w:rsid w:val="04750009"/>
    <w:rsid w:val="04781785"/>
    <w:rsid w:val="047E31BE"/>
    <w:rsid w:val="04936845"/>
    <w:rsid w:val="04D0678A"/>
    <w:rsid w:val="04D53301"/>
    <w:rsid w:val="04EB042F"/>
    <w:rsid w:val="05001064"/>
    <w:rsid w:val="051F6730"/>
    <w:rsid w:val="05791EDF"/>
    <w:rsid w:val="05B178CA"/>
    <w:rsid w:val="05B27123"/>
    <w:rsid w:val="05B64DD0"/>
    <w:rsid w:val="05BB6114"/>
    <w:rsid w:val="05F91288"/>
    <w:rsid w:val="06234585"/>
    <w:rsid w:val="06521AD4"/>
    <w:rsid w:val="067739B1"/>
    <w:rsid w:val="067E6092"/>
    <w:rsid w:val="06C0072A"/>
    <w:rsid w:val="07016C7F"/>
    <w:rsid w:val="076441D5"/>
    <w:rsid w:val="07C04E84"/>
    <w:rsid w:val="07CD1116"/>
    <w:rsid w:val="07D6085C"/>
    <w:rsid w:val="07DE6E29"/>
    <w:rsid w:val="082840C2"/>
    <w:rsid w:val="085E70A3"/>
    <w:rsid w:val="08DA32BC"/>
    <w:rsid w:val="08DA3FD7"/>
    <w:rsid w:val="08F501FF"/>
    <w:rsid w:val="08F60C35"/>
    <w:rsid w:val="09001AD1"/>
    <w:rsid w:val="09185CB5"/>
    <w:rsid w:val="09566CFF"/>
    <w:rsid w:val="09A22D49"/>
    <w:rsid w:val="09D12CDF"/>
    <w:rsid w:val="09E30998"/>
    <w:rsid w:val="0A4E4F41"/>
    <w:rsid w:val="0A4F4D83"/>
    <w:rsid w:val="0A845491"/>
    <w:rsid w:val="0B2F2B77"/>
    <w:rsid w:val="0B305702"/>
    <w:rsid w:val="0B5E5DFE"/>
    <w:rsid w:val="0B6B22C9"/>
    <w:rsid w:val="0B927A92"/>
    <w:rsid w:val="0BBF7F69"/>
    <w:rsid w:val="0BCA77F2"/>
    <w:rsid w:val="0C405504"/>
    <w:rsid w:val="0C5161B1"/>
    <w:rsid w:val="0C8304E4"/>
    <w:rsid w:val="0CAA0BCF"/>
    <w:rsid w:val="0CBD2A2F"/>
    <w:rsid w:val="0CD52D19"/>
    <w:rsid w:val="0CE61730"/>
    <w:rsid w:val="0CE939CA"/>
    <w:rsid w:val="0D102587"/>
    <w:rsid w:val="0D132C19"/>
    <w:rsid w:val="0D2131A7"/>
    <w:rsid w:val="0D257820"/>
    <w:rsid w:val="0D4C612B"/>
    <w:rsid w:val="0D8A62D9"/>
    <w:rsid w:val="0DD56120"/>
    <w:rsid w:val="0DF30082"/>
    <w:rsid w:val="0E5A03D3"/>
    <w:rsid w:val="0E7272D2"/>
    <w:rsid w:val="0E79371F"/>
    <w:rsid w:val="0E7C5956"/>
    <w:rsid w:val="0EA070D0"/>
    <w:rsid w:val="0EB56706"/>
    <w:rsid w:val="0EC9304D"/>
    <w:rsid w:val="0EF423D9"/>
    <w:rsid w:val="0F0C3DC3"/>
    <w:rsid w:val="0F186D56"/>
    <w:rsid w:val="0F9B6723"/>
    <w:rsid w:val="0FAC6E7B"/>
    <w:rsid w:val="0FC93A62"/>
    <w:rsid w:val="0FE36678"/>
    <w:rsid w:val="0FE501AB"/>
    <w:rsid w:val="1012250F"/>
    <w:rsid w:val="10390BE8"/>
    <w:rsid w:val="10670543"/>
    <w:rsid w:val="10815BDA"/>
    <w:rsid w:val="10855BDB"/>
    <w:rsid w:val="10970A10"/>
    <w:rsid w:val="10F637E2"/>
    <w:rsid w:val="111431A1"/>
    <w:rsid w:val="11CE2B2E"/>
    <w:rsid w:val="11D35C94"/>
    <w:rsid w:val="11E2798A"/>
    <w:rsid w:val="11F76665"/>
    <w:rsid w:val="12805DE5"/>
    <w:rsid w:val="12E5752B"/>
    <w:rsid w:val="13491142"/>
    <w:rsid w:val="134C6AC5"/>
    <w:rsid w:val="137433BA"/>
    <w:rsid w:val="13C62793"/>
    <w:rsid w:val="13D723C5"/>
    <w:rsid w:val="13F84CA5"/>
    <w:rsid w:val="13F86586"/>
    <w:rsid w:val="141A7CAC"/>
    <w:rsid w:val="142703B2"/>
    <w:rsid w:val="14417250"/>
    <w:rsid w:val="14870A61"/>
    <w:rsid w:val="14AE40C4"/>
    <w:rsid w:val="14B41D32"/>
    <w:rsid w:val="14B81F8E"/>
    <w:rsid w:val="15104508"/>
    <w:rsid w:val="154F7366"/>
    <w:rsid w:val="1555292F"/>
    <w:rsid w:val="15E57B1F"/>
    <w:rsid w:val="161E71FC"/>
    <w:rsid w:val="166718DF"/>
    <w:rsid w:val="169A76D1"/>
    <w:rsid w:val="16C1467C"/>
    <w:rsid w:val="17207039"/>
    <w:rsid w:val="177A7436"/>
    <w:rsid w:val="179E4BCF"/>
    <w:rsid w:val="17AE3B23"/>
    <w:rsid w:val="17BC66DE"/>
    <w:rsid w:val="17CF1E5D"/>
    <w:rsid w:val="17D7295D"/>
    <w:rsid w:val="17E23ED5"/>
    <w:rsid w:val="17E56F60"/>
    <w:rsid w:val="17EE626F"/>
    <w:rsid w:val="182D7664"/>
    <w:rsid w:val="1833214B"/>
    <w:rsid w:val="185402D3"/>
    <w:rsid w:val="185B5529"/>
    <w:rsid w:val="18622EE5"/>
    <w:rsid w:val="18800189"/>
    <w:rsid w:val="18AC1550"/>
    <w:rsid w:val="18B96103"/>
    <w:rsid w:val="18D17E82"/>
    <w:rsid w:val="18F939EB"/>
    <w:rsid w:val="19540EFA"/>
    <w:rsid w:val="195A4E3B"/>
    <w:rsid w:val="19782D58"/>
    <w:rsid w:val="19AC4C41"/>
    <w:rsid w:val="19B4400A"/>
    <w:rsid w:val="19C676F2"/>
    <w:rsid w:val="1A385D9B"/>
    <w:rsid w:val="1A717C86"/>
    <w:rsid w:val="1AB5430A"/>
    <w:rsid w:val="1AC64BF6"/>
    <w:rsid w:val="1AD945DA"/>
    <w:rsid w:val="1B0F1D66"/>
    <w:rsid w:val="1B51408A"/>
    <w:rsid w:val="1B644700"/>
    <w:rsid w:val="1B875775"/>
    <w:rsid w:val="1BB11C73"/>
    <w:rsid w:val="1BB3561A"/>
    <w:rsid w:val="1BF34C28"/>
    <w:rsid w:val="1C1100F9"/>
    <w:rsid w:val="1C5D7A0C"/>
    <w:rsid w:val="1C7302AE"/>
    <w:rsid w:val="1C8357B2"/>
    <w:rsid w:val="1C851968"/>
    <w:rsid w:val="1CE95389"/>
    <w:rsid w:val="1D0878E3"/>
    <w:rsid w:val="1D1C409A"/>
    <w:rsid w:val="1D2556A2"/>
    <w:rsid w:val="1D4C4481"/>
    <w:rsid w:val="1D8E55AB"/>
    <w:rsid w:val="1DC265E4"/>
    <w:rsid w:val="1DC35E93"/>
    <w:rsid w:val="1DC37D43"/>
    <w:rsid w:val="1DFA32A7"/>
    <w:rsid w:val="1E234C86"/>
    <w:rsid w:val="1E3407AB"/>
    <w:rsid w:val="1E5324E8"/>
    <w:rsid w:val="1E71690E"/>
    <w:rsid w:val="1E873102"/>
    <w:rsid w:val="1EAA08AF"/>
    <w:rsid w:val="1EC917AA"/>
    <w:rsid w:val="1ECE4BF1"/>
    <w:rsid w:val="1EDD731B"/>
    <w:rsid w:val="1EEF7FE2"/>
    <w:rsid w:val="1EFB12E7"/>
    <w:rsid w:val="1F0A3B75"/>
    <w:rsid w:val="1F330A60"/>
    <w:rsid w:val="1F394761"/>
    <w:rsid w:val="1F6317DE"/>
    <w:rsid w:val="1F79177C"/>
    <w:rsid w:val="1F8A261A"/>
    <w:rsid w:val="1FB506AC"/>
    <w:rsid w:val="1FB77434"/>
    <w:rsid w:val="1FC57DAA"/>
    <w:rsid w:val="1FE320E5"/>
    <w:rsid w:val="200603BB"/>
    <w:rsid w:val="209613B1"/>
    <w:rsid w:val="20D15AB9"/>
    <w:rsid w:val="20E52149"/>
    <w:rsid w:val="2120725A"/>
    <w:rsid w:val="215B6F80"/>
    <w:rsid w:val="21997739"/>
    <w:rsid w:val="21D83E35"/>
    <w:rsid w:val="21D97B35"/>
    <w:rsid w:val="221C5C74"/>
    <w:rsid w:val="22345907"/>
    <w:rsid w:val="22433472"/>
    <w:rsid w:val="22485276"/>
    <w:rsid w:val="228026A7"/>
    <w:rsid w:val="22975397"/>
    <w:rsid w:val="22CC769A"/>
    <w:rsid w:val="22E64E19"/>
    <w:rsid w:val="23433BE0"/>
    <w:rsid w:val="234C3059"/>
    <w:rsid w:val="234E02C1"/>
    <w:rsid w:val="23577264"/>
    <w:rsid w:val="23FB791E"/>
    <w:rsid w:val="242676B0"/>
    <w:rsid w:val="244915E5"/>
    <w:rsid w:val="24DF0160"/>
    <w:rsid w:val="25140E84"/>
    <w:rsid w:val="25143063"/>
    <w:rsid w:val="254974B4"/>
    <w:rsid w:val="254C4AAC"/>
    <w:rsid w:val="257650E8"/>
    <w:rsid w:val="2578496D"/>
    <w:rsid w:val="25C26559"/>
    <w:rsid w:val="264369D0"/>
    <w:rsid w:val="26684E87"/>
    <w:rsid w:val="267C4B85"/>
    <w:rsid w:val="26822EA0"/>
    <w:rsid w:val="27110E7A"/>
    <w:rsid w:val="27317BFB"/>
    <w:rsid w:val="27567996"/>
    <w:rsid w:val="27746565"/>
    <w:rsid w:val="27AA2E27"/>
    <w:rsid w:val="27C863D7"/>
    <w:rsid w:val="27FF0298"/>
    <w:rsid w:val="28097636"/>
    <w:rsid w:val="281178FD"/>
    <w:rsid w:val="28233A19"/>
    <w:rsid w:val="28503F18"/>
    <w:rsid w:val="28586C46"/>
    <w:rsid w:val="28B64A9F"/>
    <w:rsid w:val="28F929B7"/>
    <w:rsid w:val="292B4025"/>
    <w:rsid w:val="298A5A48"/>
    <w:rsid w:val="29AB024D"/>
    <w:rsid w:val="29EA03CD"/>
    <w:rsid w:val="2A020DE0"/>
    <w:rsid w:val="2A766CAD"/>
    <w:rsid w:val="2A8D3BB3"/>
    <w:rsid w:val="2A9C2F9D"/>
    <w:rsid w:val="2AF12BDA"/>
    <w:rsid w:val="2B17347C"/>
    <w:rsid w:val="2B5621F6"/>
    <w:rsid w:val="2B7E7CA0"/>
    <w:rsid w:val="2B84569A"/>
    <w:rsid w:val="2B915C4E"/>
    <w:rsid w:val="2B947996"/>
    <w:rsid w:val="2BF93460"/>
    <w:rsid w:val="2C063C1D"/>
    <w:rsid w:val="2C450698"/>
    <w:rsid w:val="2C4671CF"/>
    <w:rsid w:val="2C5A7AC4"/>
    <w:rsid w:val="2CC21B46"/>
    <w:rsid w:val="2D1B2E24"/>
    <w:rsid w:val="2D5B72F6"/>
    <w:rsid w:val="2D6803EE"/>
    <w:rsid w:val="2DA76F47"/>
    <w:rsid w:val="2DAA5BFC"/>
    <w:rsid w:val="2DC31316"/>
    <w:rsid w:val="2DC32156"/>
    <w:rsid w:val="2DE85B86"/>
    <w:rsid w:val="2DF5391E"/>
    <w:rsid w:val="2E49313B"/>
    <w:rsid w:val="2E6102A1"/>
    <w:rsid w:val="2E8E6EFB"/>
    <w:rsid w:val="2EA3253A"/>
    <w:rsid w:val="2EC46112"/>
    <w:rsid w:val="2F1E66B5"/>
    <w:rsid w:val="2F816A1B"/>
    <w:rsid w:val="2F8B18BB"/>
    <w:rsid w:val="2FBF2DDD"/>
    <w:rsid w:val="30412F8F"/>
    <w:rsid w:val="30751371"/>
    <w:rsid w:val="30947A9D"/>
    <w:rsid w:val="30C45BCE"/>
    <w:rsid w:val="30D4728D"/>
    <w:rsid w:val="30E3452C"/>
    <w:rsid w:val="30F2623C"/>
    <w:rsid w:val="31400623"/>
    <w:rsid w:val="314F0A2D"/>
    <w:rsid w:val="315B6409"/>
    <w:rsid w:val="318A1498"/>
    <w:rsid w:val="31CE0474"/>
    <w:rsid w:val="31EE58A3"/>
    <w:rsid w:val="31FD1CEB"/>
    <w:rsid w:val="322C3CB1"/>
    <w:rsid w:val="325109C1"/>
    <w:rsid w:val="32C263C3"/>
    <w:rsid w:val="32F14EC6"/>
    <w:rsid w:val="32F841FF"/>
    <w:rsid w:val="33263DAB"/>
    <w:rsid w:val="333C4829"/>
    <w:rsid w:val="33484B1B"/>
    <w:rsid w:val="334A6D46"/>
    <w:rsid w:val="33525999"/>
    <w:rsid w:val="33B832FC"/>
    <w:rsid w:val="33CA128E"/>
    <w:rsid w:val="33D35CB1"/>
    <w:rsid w:val="33E66311"/>
    <w:rsid w:val="33E81E5A"/>
    <w:rsid w:val="34086058"/>
    <w:rsid w:val="341F7EC5"/>
    <w:rsid w:val="343A34CB"/>
    <w:rsid w:val="34C55DA0"/>
    <w:rsid w:val="34E142FD"/>
    <w:rsid w:val="34E33029"/>
    <w:rsid w:val="35046B10"/>
    <w:rsid w:val="353C50DF"/>
    <w:rsid w:val="356E638F"/>
    <w:rsid w:val="35833A44"/>
    <w:rsid w:val="35FB4052"/>
    <w:rsid w:val="36301904"/>
    <w:rsid w:val="363E3CB4"/>
    <w:rsid w:val="36594D82"/>
    <w:rsid w:val="366A748C"/>
    <w:rsid w:val="369221D4"/>
    <w:rsid w:val="36E27034"/>
    <w:rsid w:val="36E36102"/>
    <w:rsid w:val="372F100A"/>
    <w:rsid w:val="37435A4A"/>
    <w:rsid w:val="374E6A3B"/>
    <w:rsid w:val="377234B5"/>
    <w:rsid w:val="3787583F"/>
    <w:rsid w:val="379320DC"/>
    <w:rsid w:val="37B54749"/>
    <w:rsid w:val="37BF1123"/>
    <w:rsid w:val="384A2609"/>
    <w:rsid w:val="384B469B"/>
    <w:rsid w:val="38BF59B5"/>
    <w:rsid w:val="38C02A60"/>
    <w:rsid w:val="38C87DFF"/>
    <w:rsid w:val="390B140A"/>
    <w:rsid w:val="391F0F0B"/>
    <w:rsid w:val="3922629E"/>
    <w:rsid w:val="394526DF"/>
    <w:rsid w:val="394713D0"/>
    <w:rsid w:val="39535FC7"/>
    <w:rsid w:val="39A46B1E"/>
    <w:rsid w:val="39E4625F"/>
    <w:rsid w:val="39FC4EA5"/>
    <w:rsid w:val="3A0E569A"/>
    <w:rsid w:val="3A227BA6"/>
    <w:rsid w:val="3A5E1757"/>
    <w:rsid w:val="3A777A93"/>
    <w:rsid w:val="3A797CAF"/>
    <w:rsid w:val="3AA07807"/>
    <w:rsid w:val="3AFB2473"/>
    <w:rsid w:val="3B5D45E3"/>
    <w:rsid w:val="3BA35BC1"/>
    <w:rsid w:val="3BAC44BB"/>
    <w:rsid w:val="3BF44FA2"/>
    <w:rsid w:val="3C4944FC"/>
    <w:rsid w:val="3C4E2A76"/>
    <w:rsid w:val="3C8331DF"/>
    <w:rsid w:val="3C8670FA"/>
    <w:rsid w:val="3CD613E9"/>
    <w:rsid w:val="3CD9684F"/>
    <w:rsid w:val="3CF74EBC"/>
    <w:rsid w:val="3D016867"/>
    <w:rsid w:val="3D073ACE"/>
    <w:rsid w:val="3D1413C8"/>
    <w:rsid w:val="3D237A8C"/>
    <w:rsid w:val="3D254A9D"/>
    <w:rsid w:val="3D4C5207"/>
    <w:rsid w:val="3D4F358F"/>
    <w:rsid w:val="3D523C1E"/>
    <w:rsid w:val="3D622FEA"/>
    <w:rsid w:val="3D9B169F"/>
    <w:rsid w:val="3DA03002"/>
    <w:rsid w:val="3DC55309"/>
    <w:rsid w:val="3DCD4649"/>
    <w:rsid w:val="3DD61DC0"/>
    <w:rsid w:val="3DD73545"/>
    <w:rsid w:val="3DE41BD8"/>
    <w:rsid w:val="3DEE4511"/>
    <w:rsid w:val="3E5A0807"/>
    <w:rsid w:val="3E662F7C"/>
    <w:rsid w:val="3E92492A"/>
    <w:rsid w:val="3E995F89"/>
    <w:rsid w:val="3EA937F0"/>
    <w:rsid w:val="3F084EB5"/>
    <w:rsid w:val="3F202618"/>
    <w:rsid w:val="3F4550B7"/>
    <w:rsid w:val="3F8455A3"/>
    <w:rsid w:val="3F8B351F"/>
    <w:rsid w:val="3F9D41DB"/>
    <w:rsid w:val="3FD57F9F"/>
    <w:rsid w:val="3FD853A3"/>
    <w:rsid w:val="3FD87226"/>
    <w:rsid w:val="3FE72583"/>
    <w:rsid w:val="4050500F"/>
    <w:rsid w:val="406C30CB"/>
    <w:rsid w:val="40BD6AFE"/>
    <w:rsid w:val="40F46F6B"/>
    <w:rsid w:val="413E0455"/>
    <w:rsid w:val="41731341"/>
    <w:rsid w:val="417F6170"/>
    <w:rsid w:val="41C20F48"/>
    <w:rsid w:val="41EE2D31"/>
    <w:rsid w:val="42A603AD"/>
    <w:rsid w:val="42B0445D"/>
    <w:rsid w:val="42C82DCC"/>
    <w:rsid w:val="42D53EF1"/>
    <w:rsid w:val="42F1397A"/>
    <w:rsid w:val="42FB7BC4"/>
    <w:rsid w:val="43EE526A"/>
    <w:rsid w:val="452A508F"/>
    <w:rsid w:val="45486BFC"/>
    <w:rsid w:val="45B04B16"/>
    <w:rsid w:val="45C05B95"/>
    <w:rsid w:val="45D01A0A"/>
    <w:rsid w:val="45E82E12"/>
    <w:rsid w:val="462F0DEB"/>
    <w:rsid w:val="466776E2"/>
    <w:rsid w:val="466B2BA2"/>
    <w:rsid w:val="46CA4B1D"/>
    <w:rsid w:val="472355B8"/>
    <w:rsid w:val="472F5FBC"/>
    <w:rsid w:val="47413903"/>
    <w:rsid w:val="47815AC5"/>
    <w:rsid w:val="4782069C"/>
    <w:rsid w:val="478C22DB"/>
    <w:rsid w:val="47A0687C"/>
    <w:rsid w:val="47C435EA"/>
    <w:rsid w:val="48007274"/>
    <w:rsid w:val="48091BDA"/>
    <w:rsid w:val="4829252D"/>
    <w:rsid w:val="482B0FFF"/>
    <w:rsid w:val="482C6F98"/>
    <w:rsid w:val="4857337B"/>
    <w:rsid w:val="4866068D"/>
    <w:rsid w:val="48932FEE"/>
    <w:rsid w:val="48AB3B9E"/>
    <w:rsid w:val="48B76CFC"/>
    <w:rsid w:val="48E11910"/>
    <w:rsid w:val="48EA36F6"/>
    <w:rsid w:val="48F14EB5"/>
    <w:rsid w:val="4930508D"/>
    <w:rsid w:val="494D42E0"/>
    <w:rsid w:val="496F32AD"/>
    <w:rsid w:val="499063FB"/>
    <w:rsid w:val="49995C78"/>
    <w:rsid w:val="49A31ABC"/>
    <w:rsid w:val="49E85EFC"/>
    <w:rsid w:val="49F41BBF"/>
    <w:rsid w:val="49F51FEC"/>
    <w:rsid w:val="4ACC3E2B"/>
    <w:rsid w:val="4AD625B4"/>
    <w:rsid w:val="4AF33166"/>
    <w:rsid w:val="4B0E5B5A"/>
    <w:rsid w:val="4B355B8B"/>
    <w:rsid w:val="4B3C07F9"/>
    <w:rsid w:val="4B41126B"/>
    <w:rsid w:val="4B5C7862"/>
    <w:rsid w:val="4B64555C"/>
    <w:rsid w:val="4BBB60AD"/>
    <w:rsid w:val="4BBE5847"/>
    <w:rsid w:val="4BF229BF"/>
    <w:rsid w:val="4C211503"/>
    <w:rsid w:val="4C2438C8"/>
    <w:rsid w:val="4C4B6175"/>
    <w:rsid w:val="4C7627B3"/>
    <w:rsid w:val="4C793942"/>
    <w:rsid w:val="4C885AF3"/>
    <w:rsid w:val="4C923DD6"/>
    <w:rsid w:val="4CD82614"/>
    <w:rsid w:val="4D673D6A"/>
    <w:rsid w:val="4D6E4878"/>
    <w:rsid w:val="4D9B411E"/>
    <w:rsid w:val="4DC112FA"/>
    <w:rsid w:val="4E433D03"/>
    <w:rsid w:val="4E8F13F8"/>
    <w:rsid w:val="4EB0285B"/>
    <w:rsid w:val="4EC05A55"/>
    <w:rsid w:val="4F6B1C55"/>
    <w:rsid w:val="4F7725B8"/>
    <w:rsid w:val="4F7C04CD"/>
    <w:rsid w:val="4F905D1A"/>
    <w:rsid w:val="4FB21895"/>
    <w:rsid w:val="4FBD1F95"/>
    <w:rsid w:val="4FD91279"/>
    <w:rsid w:val="5016238B"/>
    <w:rsid w:val="501B6E9B"/>
    <w:rsid w:val="506165A1"/>
    <w:rsid w:val="50E463B2"/>
    <w:rsid w:val="51104669"/>
    <w:rsid w:val="512C44E0"/>
    <w:rsid w:val="515C6A95"/>
    <w:rsid w:val="517F12E8"/>
    <w:rsid w:val="51AA3C10"/>
    <w:rsid w:val="51AE0CCF"/>
    <w:rsid w:val="51C66757"/>
    <w:rsid w:val="51EE6494"/>
    <w:rsid w:val="52071611"/>
    <w:rsid w:val="52AA75F3"/>
    <w:rsid w:val="52FD4200"/>
    <w:rsid w:val="5300637D"/>
    <w:rsid w:val="5309377E"/>
    <w:rsid w:val="5314433F"/>
    <w:rsid w:val="538E3025"/>
    <w:rsid w:val="53933BA5"/>
    <w:rsid w:val="53C90182"/>
    <w:rsid w:val="53E144A4"/>
    <w:rsid w:val="53E61ABA"/>
    <w:rsid w:val="53F11BA2"/>
    <w:rsid w:val="540A3B19"/>
    <w:rsid w:val="54125888"/>
    <w:rsid w:val="54242B17"/>
    <w:rsid w:val="543D6A62"/>
    <w:rsid w:val="54AD5029"/>
    <w:rsid w:val="54B913BD"/>
    <w:rsid w:val="54C2772B"/>
    <w:rsid w:val="54EC7AE7"/>
    <w:rsid w:val="551F78CC"/>
    <w:rsid w:val="553F6AD8"/>
    <w:rsid w:val="55571E5A"/>
    <w:rsid w:val="55892AD6"/>
    <w:rsid w:val="55894DF3"/>
    <w:rsid w:val="55AF3671"/>
    <w:rsid w:val="55FA232D"/>
    <w:rsid w:val="560B4D76"/>
    <w:rsid w:val="561B5D83"/>
    <w:rsid w:val="562D4F7A"/>
    <w:rsid w:val="56866615"/>
    <w:rsid w:val="56B87C65"/>
    <w:rsid w:val="56BA0FDC"/>
    <w:rsid w:val="56EA37F8"/>
    <w:rsid w:val="570D55B0"/>
    <w:rsid w:val="575F0E31"/>
    <w:rsid w:val="577C2DA4"/>
    <w:rsid w:val="57B1418D"/>
    <w:rsid w:val="57CC3C83"/>
    <w:rsid w:val="57DE70CD"/>
    <w:rsid w:val="57E3679E"/>
    <w:rsid w:val="58207835"/>
    <w:rsid w:val="5847121A"/>
    <w:rsid w:val="585C0901"/>
    <w:rsid w:val="58816266"/>
    <w:rsid w:val="588723F3"/>
    <w:rsid w:val="58A348B0"/>
    <w:rsid w:val="58DE31AC"/>
    <w:rsid w:val="59684D1F"/>
    <w:rsid w:val="59782A72"/>
    <w:rsid w:val="59CC0D4E"/>
    <w:rsid w:val="5A1339B1"/>
    <w:rsid w:val="5A186745"/>
    <w:rsid w:val="5A225816"/>
    <w:rsid w:val="5A2E466A"/>
    <w:rsid w:val="5A3B0A31"/>
    <w:rsid w:val="5A3C4832"/>
    <w:rsid w:val="5A3E443C"/>
    <w:rsid w:val="5A415B6D"/>
    <w:rsid w:val="5A9166AC"/>
    <w:rsid w:val="5B0867BA"/>
    <w:rsid w:val="5B2532B5"/>
    <w:rsid w:val="5B362158"/>
    <w:rsid w:val="5B832259"/>
    <w:rsid w:val="5BD12D44"/>
    <w:rsid w:val="5BEF1728"/>
    <w:rsid w:val="5C10149A"/>
    <w:rsid w:val="5C1B7138"/>
    <w:rsid w:val="5C281545"/>
    <w:rsid w:val="5C497917"/>
    <w:rsid w:val="5C670BCC"/>
    <w:rsid w:val="5C6C2C46"/>
    <w:rsid w:val="5C720E7C"/>
    <w:rsid w:val="5C865C8B"/>
    <w:rsid w:val="5CA21DF3"/>
    <w:rsid w:val="5CA816A4"/>
    <w:rsid w:val="5CD43BF7"/>
    <w:rsid w:val="5CEB0141"/>
    <w:rsid w:val="5D0D6309"/>
    <w:rsid w:val="5D597DFD"/>
    <w:rsid w:val="5E1B2CA8"/>
    <w:rsid w:val="5E290DED"/>
    <w:rsid w:val="5E313FE8"/>
    <w:rsid w:val="5E373415"/>
    <w:rsid w:val="5E485846"/>
    <w:rsid w:val="5E573E3F"/>
    <w:rsid w:val="5E590072"/>
    <w:rsid w:val="5E6A49F1"/>
    <w:rsid w:val="5E70786E"/>
    <w:rsid w:val="5FC01B3E"/>
    <w:rsid w:val="5FEC090A"/>
    <w:rsid w:val="5FF11730"/>
    <w:rsid w:val="5FF23223"/>
    <w:rsid w:val="5FF9607A"/>
    <w:rsid w:val="60A243C6"/>
    <w:rsid w:val="60A304DB"/>
    <w:rsid w:val="60C17B45"/>
    <w:rsid w:val="60C5514D"/>
    <w:rsid w:val="612B0D66"/>
    <w:rsid w:val="614766DE"/>
    <w:rsid w:val="615F2FFE"/>
    <w:rsid w:val="616E16FC"/>
    <w:rsid w:val="61C77DA0"/>
    <w:rsid w:val="62240C68"/>
    <w:rsid w:val="62BA6443"/>
    <w:rsid w:val="62DA1BE0"/>
    <w:rsid w:val="6315416A"/>
    <w:rsid w:val="63384997"/>
    <w:rsid w:val="638F75FD"/>
    <w:rsid w:val="63F2136B"/>
    <w:rsid w:val="640F3997"/>
    <w:rsid w:val="642457DD"/>
    <w:rsid w:val="643318BA"/>
    <w:rsid w:val="644A182A"/>
    <w:rsid w:val="64610CE9"/>
    <w:rsid w:val="64810758"/>
    <w:rsid w:val="64A21035"/>
    <w:rsid w:val="64A55DD3"/>
    <w:rsid w:val="652611B3"/>
    <w:rsid w:val="65C472AC"/>
    <w:rsid w:val="65D54623"/>
    <w:rsid w:val="66615A5D"/>
    <w:rsid w:val="66772A46"/>
    <w:rsid w:val="66DC10BF"/>
    <w:rsid w:val="66DD77D4"/>
    <w:rsid w:val="66F75934"/>
    <w:rsid w:val="66F82A2C"/>
    <w:rsid w:val="66FB0E23"/>
    <w:rsid w:val="67014ADC"/>
    <w:rsid w:val="671B663A"/>
    <w:rsid w:val="671D69B2"/>
    <w:rsid w:val="672B68DF"/>
    <w:rsid w:val="672F3DC4"/>
    <w:rsid w:val="67467C88"/>
    <w:rsid w:val="67826E59"/>
    <w:rsid w:val="67F33C0A"/>
    <w:rsid w:val="67F72DCD"/>
    <w:rsid w:val="67FC4959"/>
    <w:rsid w:val="680B24A2"/>
    <w:rsid w:val="68994EF5"/>
    <w:rsid w:val="68A044D6"/>
    <w:rsid w:val="69054424"/>
    <w:rsid w:val="693372EA"/>
    <w:rsid w:val="69490933"/>
    <w:rsid w:val="694F1A58"/>
    <w:rsid w:val="694F35CC"/>
    <w:rsid w:val="696528DE"/>
    <w:rsid w:val="69A16979"/>
    <w:rsid w:val="69E17052"/>
    <w:rsid w:val="69F357F1"/>
    <w:rsid w:val="6A21653D"/>
    <w:rsid w:val="6A495D4E"/>
    <w:rsid w:val="6A561A76"/>
    <w:rsid w:val="6A990713"/>
    <w:rsid w:val="6AAA237E"/>
    <w:rsid w:val="6AB62A60"/>
    <w:rsid w:val="6B120F8F"/>
    <w:rsid w:val="6B4244F8"/>
    <w:rsid w:val="6B6F63E1"/>
    <w:rsid w:val="6BA53494"/>
    <w:rsid w:val="6BD630B8"/>
    <w:rsid w:val="6C102E26"/>
    <w:rsid w:val="6C843637"/>
    <w:rsid w:val="6CA81BAB"/>
    <w:rsid w:val="6CF551A7"/>
    <w:rsid w:val="6D024EFF"/>
    <w:rsid w:val="6D154ACD"/>
    <w:rsid w:val="6D4D7FA8"/>
    <w:rsid w:val="6D5E2269"/>
    <w:rsid w:val="6D6E4A89"/>
    <w:rsid w:val="6D6F30FB"/>
    <w:rsid w:val="6DE70E3C"/>
    <w:rsid w:val="6DEA7C91"/>
    <w:rsid w:val="6E3B63B9"/>
    <w:rsid w:val="6E5407F6"/>
    <w:rsid w:val="6E656096"/>
    <w:rsid w:val="6EC176F8"/>
    <w:rsid w:val="6F1B0F5E"/>
    <w:rsid w:val="6F202F7D"/>
    <w:rsid w:val="6F4928A8"/>
    <w:rsid w:val="6F843BE1"/>
    <w:rsid w:val="6F8A4399"/>
    <w:rsid w:val="6FAD49DE"/>
    <w:rsid w:val="6FAF14A2"/>
    <w:rsid w:val="700C2451"/>
    <w:rsid w:val="707A385E"/>
    <w:rsid w:val="70DC62C7"/>
    <w:rsid w:val="70DC708A"/>
    <w:rsid w:val="7134766D"/>
    <w:rsid w:val="715916C6"/>
    <w:rsid w:val="71AA0489"/>
    <w:rsid w:val="71B25A17"/>
    <w:rsid w:val="71EB260E"/>
    <w:rsid w:val="71F75136"/>
    <w:rsid w:val="723F6B0D"/>
    <w:rsid w:val="72786D6F"/>
    <w:rsid w:val="729B7ABC"/>
    <w:rsid w:val="72D97F76"/>
    <w:rsid w:val="72E413D3"/>
    <w:rsid w:val="72F73F65"/>
    <w:rsid w:val="73142FD3"/>
    <w:rsid w:val="73A264B0"/>
    <w:rsid w:val="73EA7614"/>
    <w:rsid w:val="74305692"/>
    <w:rsid w:val="7470072B"/>
    <w:rsid w:val="74796C77"/>
    <w:rsid w:val="749E1E6C"/>
    <w:rsid w:val="74D74669"/>
    <w:rsid w:val="75422221"/>
    <w:rsid w:val="75775E31"/>
    <w:rsid w:val="75E023B5"/>
    <w:rsid w:val="75EB3123"/>
    <w:rsid w:val="76251B36"/>
    <w:rsid w:val="76810643"/>
    <w:rsid w:val="7702635B"/>
    <w:rsid w:val="775E506C"/>
    <w:rsid w:val="77673B23"/>
    <w:rsid w:val="777A34A6"/>
    <w:rsid w:val="778D1C32"/>
    <w:rsid w:val="77DA43C9"/>
    <w:rsid w:val="78246CD9"/>
    <w:rsid w:val="782B38E9"/>
    <w:rsid w:val="7856266A"/>
    <w:rsid w:val="78B13507"/>
    <w:rsid w:val="78C51FB7"/>
    <w:rsid w:val="78CD4D90"/>
    <w:rsid w:val="78E0091E"/>
    <w:rsid w:val="78E501D3"/>
    <w:rsid w:val="799F4335"/>
    <w:rsid w:val="79C36276"/>
    <w:rsid w:val="79CA761B"/>
    <w:rsid w:val="79F667F0"/>
    <w:rsid w:val="7A2E79E4"/>
    <w:rsid w:val="7A44004E"/>
    <w:rsid w:val="7A5F3E29"/>
    <w:rsid w:val="7AA40C8B"/>
    <w:rsid w:val="7AB47809"/>
    <w:rsid w:val="7AC02B78"/>
    <w:rsid w:val="7B2A7C2F"/>
    <w:rsid w:val="7B3E6EE5"/>
    <w:rsid w:val="7BAC27F5"/>
    <w:rsid w:val="7BB801CD"/>
    <w:rsid w:val="7BF1540C"/>
    <w:rsid w:val="7C03727C"/>
    <w:rsid w:val="7C18217D"/>
    <w:rsid w:val="7C5C6C22"/>
    <w:rsid w:val="7C7A6D71"/>
    <w:rsid w:val="7C9425AE"/>
    <w:rsid w:val="7CDC12F7"/>
    <w:rsid w:val="7CE92886"/>
    <w:rsid w:val="7D6F790E"/>
    <w:rsid w:val="7DF0337C"/>
    <w:rsid w:val="7E185FB2"/>
    <w:rsid w:val="7E34163C"/>
    <w:rsid w:val="7E36482B"/>
    <w:rsid w:val="7E5E44A4"/>
    <w:rsid w:val="7E68069D"/>
    <w:rsid w:val="7E712294"/>
    <w:rsid w:val="7E933D3D"/>
    <w:rsid w:val="7E9E3D08"/>
    <w:rsid w:val="7EA71DC0"/>
    <w:rsid w:val="7ED808CF"/>
    <w:rsid w:val="7EE302DA"/>
    <w:rsid w:val="7EE96970"/>
    <w:rsid w:val="7EED7AD6"/>
    <w:rsid w:val="7EFC374E"/>
    <w:rsid w:val="7F39492B"/>
    <w:rsid w:val="7F440FF5"/>
    <w:rsid w:val="7FFF41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53"/>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4">
    <w:name w:val="heading 2"/>
    <w:basedOn w:val="1"/>
    <w:next w:val="1"/>
    <w:link w:val="54"/>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5">
    <w:name w:val="heading 3"/>
    <w:basedOn w:val="1"/>
    <w:next w:val="1"/>
    <w:link w:val="55"/>
    <w:qFormat/>
    <w:uiPriority w:val="0"/>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6">
    <w:name w:val="heading 4"/>
    <w:basedOn w:val="1"/>
    <w:next w:val="1"/>
    <w:link w:val="56"/>
    <w:qFormat/>
    <w:uiPriority w:val="0"/>
    <w:pPr>
      <w:keepNext/>
      <w:keepLines/>
      <w:numPr>
        <w:ilvl w:val="3"/>
        <w:numId w:val="1"/>
      </w:numPr>
      <w:spacing w:before="280" w:after="290" w:line="376" w:lineRule="auto"/>
      <w:ind w:left="0" w:firstLine="0"/>
      <w:outlineLvl w:val="3"/>
    </w:pPr>
    <w:rPr>
      <w:rFonts w:ascii="Cambria" w:hAnsi="Cambria"/>
      <w:b/>
      <w:bCs/>
      <w:szCs w:val="28"/>
    </w:rPr>
  </w:style>
  <w:style w:type="paragraph" w:styleId="7">
    <w:name w:val="heading 5"/>
    <w:basedOn w:val="1"/>
    <w:next w:val="1"/>
    <w:link w:val="57"/>
    <w:qFormat/>
    <w:uiPriority w:val="0"/>
    <w:pPr>
      <w:keepNext/>
      <w:keepLines/>
      <w:widowControl/>
      <w:numPr>
        <w:ilvl w:val="4"/>
        <w:numId w:val="1"/>
      </w:numPr>
      <w:spacing w:before="280" w:after="290" w:line="376" w:lineRule="auto"/>
      <w:jc w:val="left"/>
      <w:outlineLvl w:val="4"/>
    </w:pPr>
    <w:rPr>
      <w:b/>
      <w:bCs/>
      <w:kern w:val="0"/>
      <w:szCs w:val="28"/>
    </w:rPr>
  </w:style>
  <w:style w:type="paragraph" w:styleId="8">
    <w:name w:val="heading 6"/>
    <w:basedOn w:val="1"/>
    <w:next w:val="1"/>
    <w:link w:val="58"/>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59"/>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60"/>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61"/>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rPr>
      <w:sz w:val="21"/>
    </w:rPr>
  </w:style>
  <w:style w:type="paragraph" w:styleId="12">
    <w:name w:val="Normal Indent"/>
    <w:basedOn w:val="1"/>
    <w:link w:val="68"/>
    <w:qFormat/>
    <w:uiPriority w:val="0"/>
    <w:pPr>
      <w:ind w:firstLine="420"/>
    </w:pPr>
    <w:rPr>
      <w:rFonts w:asciiTheme="minorHAnsi" w:hAnsiTheme="minorHAnsi" w:eastAsiaTheme="minorEastAsia" w:cstheme="minorBidi"/>
      <w:sz w:val="21"/>
      <w:szCs w:val="22"/>
    </w:rPr>
  </w:style>
  <w:style w:type="paragraph" w:styleId="13">
    <w:name w:val="List Bullet"/>
    <w:basedOn w:val="1"/>
    <w:qFormat/>
    <w:uiPriority w:val="0"/>
    <w:pPr>
      <w:numPr>
        <w:ilvl w:val="0"/>
        <w:numId w:val="2"/>
      </w:numPr>
    </w:pPr>
    <w:rPr>
      <w:sz w:val="21"/>
    </w:rPr>
  </w:style>
  <w:style w:type="paragraph" w:styleId="14">
    <w:name w:val="Document Map"/>
    <w:basedOn w:val="1"/>
    <w:link w:val="64"/>
    <w:semiHidden/>
    <w:qFormat/>
    <w:uiPriority w:val="0"/>
    <w:rPr>
      <w:rFonts w:ascii="Heiti SC Light" w:hAnsi="Calibri" w:eastAsia="Times New Roman"/>
      <w:sz w:val="24"/>
    </w:rPr>
  </w:style>
  <w:style w:type="paragraph" w:styleId="15">
    <w:name w:val="annotation text"/>
    <w:basedOn w:val="1"/>
    <w:link w:val="67"/>
    <w:qFormat/>
    <w:uiPriority w:val="0"/>
    <w:pPr>
      <w:jc w:val="left"/>
    </w:pPr>
    <w:rPr>
      <w:rFonts w:asciiTheme="minorHAnsi" w:hAnsiTheme="minorHAnsi" w:eastAsiaTheme="minorEastAsia" w:cstheme="minorBidi"/>
      <w:szCs w:val="22"/>
    </w:rPr>
  </w:style>
  <w:style w:type="paragraph" w:styleId="16">
    <w:name w:val="Body Text"/>
    <w:basedOn w:val="1"/>
    <w:next w:val="1"/>
    <w:link w:val="71"/>
    <w:qFormat/>
    <w:uiPriority w:val="0"/>
    <w:pPr>
      <w:spacing w:line="420" w:lineRule="auto"/>
    </w:pPr>
    <w:rPr>
      <w:sz w:val="24"/>
    </w:rPr>
  </w:style>
  <w:style w:type="paragraph" w:styleId="17">
    <w:name w:val="Body Text Indent"/>
    <w:basedOn w:val="1"/>
    <w:link w:val="50"/>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49"/>
    <w:qFormat/>
    <w:uiPriority w:val="0"/>
    <w:rPr>
      <w:rFonts w:ascii="宋体" w:hAnsi="Courier New" w:cs="Courier New"/>
      <w:sz w:val="21"/>
      <w:szCs w:val="21"/>
    </w:rPr>
  </w:style>
  <w:style w:type="paragraph" w:styleId="20">
    <w:name w:val="Balloon Text"/>
    <w:basedOn w:val="1"/>
    <w:link w:val="51"/>
    <w:unhideWhenUsed/>
    <w:qFormat/>
    <w:uiPriority w:val="0"/>
    <w:rPr>
      <w:sz w:val="18"/>
      <w:szCs w:val="18"/>
    </w:rPr>
  </w:style>
  <w:style w:type="paragraph" w:styleId="21">
    <w:name w:val="footer"/>
    <w:basedOn w:val="1"/>
    <w:next w:val="1"/>
    <w:link w:val="48"/>
    <w:qFormat/>
    <w:uiPriority w:val="99"/>
    <w:pPr>
      <w:tabs>
        <w:tab w:val="center" w:pos="4153"/>
        <w:tab w:val="right" w:pos="8306"/>
      </w:tabs>
      <w:snapToGrid w:val="0"/>
      <w:jc w:val="left"/>
    </w:pPr>
    <w:rPr>
      <w:sz w:val="18"/>
      <w:szCs w:val="18"/>
    </w:rPr>
  </w:style>
  <w:style w:type="paragraph" w:styleId="22">
    <w:name w:val="header"/>
    <w:basedOn w:val="1"/>
    <w:link w:val="119"/>
    <w:qFormat/>
    <w:uiPriority w:val="0"/>
    <w:pPr>
      <w:pBdr>
        <w:bottom w:val="single" w:color="auto" w:sz="6" w:space="1"/>
      </w:pBdr>
      <w:tabs>
        <w:tab w:val="center" w:pos="4153"/>
        <w:tab w:val="right" w:pos="8306"/>
      </w:tabs>
      <w:snapToGrid w:val="0"/>
      <w:jc w:val="center"/>
    </w:pPr>
    <w:rPr>
      <w:sz w:val="18"/>
      <w:szCs w:val="18"/>
    </w:rPr>
  </w:style>
  <w:style w:type="paragraph" w:styleId="23">
    <w:name w:val="Body Text Indent 3"/>
    <w:basedOn w:val="1"/>
    <w:link w:val="75"/>
    <w:qFormat/>
    <w:uiPriority w:val="0"/>
    <w:pPr>
      <w:spacing w:after="120"/>
      <w:ind w:left="420" w:leftChars="200"/>
    </w:pPr>
    <w:rPr>
      <w:sz w:val="16"/>
      <w:szCs w:val="16"/>
    </w:rPr>
  </w:style>
  <w:style w:type="paragraph" w:styleId="24">
    <w:name w:val="Body Text 2"/>
    <w:basedOn w:val="1"/>
    <w:qFormat/>
    <w:uiPriority w:val="0"/>
    <w:pPr>
      <w:adjustRightInd w:val="0"/>
      <w:snapToGrid w:val="0"/>
      <w:spacing w:line="480" w:lineRule="atLeast"/>
    </w:pPr>
    <w:rPr>
      <w:rFonts w:ascii="宋体" w:hAnsi="宋体"/>
      <w:szCs w:val="20"/>
    </w:rPr>
  </w:style>
  <w:style w:type="paragraph" w:styleId="25">
    <w:name w:val="Normal (Web)"/>
    <w:basedOn w:val="1"/>
    <w:qFormat/>
    <w:uiPriority w:val="0"/>
    <w:pPr>
      <w:spacing w:beforeAutospacing="1" w:afterAutospacing="1"/>
      <w:jc w:val="left"/>
    </w:pPr>
    <w:rPr>
      <w:kern w:val="0"/>
      <w:sz w:val="24"/>
      <w:szCs w:val="20"/>
    </w:rPr>
  </w:style>
  <w:style w:type="paragraph" w:styleId="26">
    <w:name w:val="Title"/>
    <w:basedOn w:val="1"/>
    <w:next w:val="1"/>
    <w:link w:val="77"/>
    <w:qFormat/>
    <w:uiPriority w:val="0"/>
    <w:pPr>
      <w:spacing w:before="240" w:after="60"/>
      <w:jc w:val="center"/>
      <w:outlineLvl w:val="0"/>
    </w:pPr>
    <w:rPr>
      <w:rFonts w:ascii="Cambria" w:hAnsi="Cambria"/>
      <w:b/>
      <w:bCs/>
      <w:sz w:val="32"/>
      <w:szCs w:val="32"/>
    </w:rPr>
  </w:style>
  <w:style w:type="paragraph" w:styleId="27">
    <w:name w:val="Body Text First Indent"/>
    <w:basedOn w:val="16"/>
    <w:next w:val="1"/>
    <w:qFormat/>
    <w:uiPriority w:val="0"/>
    <w:pPr>
      <w:autoSpaceDE w:val="0"/>
      <w:autoSpaceDN w:val="0"/>
      <w:adjustRightInd w:val="0"/>
      <w:ind w:firstLine="420" w:firstLineChars="100"/>
      <w:jc w:val="left"/>
    </w:pPr>
    <w:rPr>
      <w:kern w:val="0"/>
      <w:sz w:val="20"/>
      <w:szCs w:val="20"/>
    </w:rPr>
  </w:style>
  <w:style w:type="paragraph" w:styleId="28">
    <w:name w:val="Body Text First Indent 2"/>
    <w:basedOn w:val="17"/>
    <w:unhideWhenUsed/>
    <w:qFormat/>
    <w:uiPriority w:val="99"/>
    <w:pPr>
      <w:ind w:left="200" w:leftChars="200" w:firstLine="420" w:firstLineChars="200"/>
    </w:pPr>
    <w:rPr>
      <w:rFonts w:asciiTheme="minorHAnsi" w:hAnsiTheme="minorHAnsi" w:cstheme="minorBidi"/>
      <w:szCs w:val="22"/>
    </w:rPr>
  </w:style>
  <w:style w:type="table" w:styleId="30">
    <w:name w:val="Table Grid"/>
    <w:basedOn w:val="2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qFormat/>
    <w:uiPriority w:val="0"/>
    <w:rPr>
      <w:b/>
      <w:bCs/>
    </w:rPr>
  </w:style>
  <w:style w:type="character" w:styleId="33">
    <w:name w:val="page number"/>
    <w:qFormat/>
    <w:uiPriority w:val="0"/>
  </w:style>
  <w:style w:type="character" w:styleId="34">
    <w:name w:val="FollowedHyperlink"/>
    <w:qFormat/>
    <w:uiPriority w:val="99"/>
    <w:rPr>
      <w:color w:val="800080"/>
      <w:u w:val="single"/>
    </w:rPr>
  </w:style>
  <w:style w:type="character" w:styleId="35">
    <w:name w:val="Emphasis"/>
    <w:basedOn w:val="31"/>
    <w:qFormat/>
    <w:uiPriority w:val="20"/>
  </w:style>
  <w:style w:type="character" w:styleId="36">
    <w:name w:val="HTML Definition"/>
    <w:basedOn w:val="31"/>
    <w:semiHidden/>
    <w:unhideWhenUsed/>
    <w:qFormat/>
    <w:uiPriority w:val="99"/>
    <w:rPr>
      <w:i/>
      <w:iCs/>
    </w:rPr>
  </w:style>
  <w:style w:type="character" w:styleId="37">
    <w:name w:val="HTML Variable"/>
    <w:basedOn w:val="31"/>
    <w:semiHidden/>
    <w:unhideWhenUsed/>
    <w:qFormat/>
    <w:uiPriority w:val="99"/>
  </w:style>
  <w:style w:type="character" w:styleId="38">
    <w:name w:val="Hyperlink"/>
    <w:qFormat/>
    <w:uiPriority w:val="99"/>
    <w:rPr>
      <w:color w:val="0000FF"/>
      <w:u w:val="single"/>
    </w:rPr>
  </w:style>
  <w:style w:type="character" w:styleId="39">
    <w:name w:val="HTML Code"/>
    <w:basedOn w:val="31"/>
    <w:semiHidden/>
    <w:unhideWhenUsed/>
    <w:qFormat/>
    <w:uiPriority w:val="99"/>
    <w:rPr>
      <w:rFonts w:hint="default" w:ascii="Consolas" w:hAnsi="Consolas" w:eastAsia="Consolas" w:cs="Consolas"/>
      <w:color w:val="C7254E"/>
      <w:sz w:val="21"/>
      <w:szCs w:val="21"/>
      <w:shd w:val="clear" w:color="auto" w:fill="F9F2F4"/>
    </w:rPr>
  </w:style>
  <w:style w:type="character" w:styleId="40">
    <w:name w:val="annotation reference"/>
    <w:qFormat/>
    <w:uiPriority w:val="0"/>
    <w:rPr>
      <w:sz w:val="21"/>
    </w:rPr>
  </w:style>
  <w:style w:type="character" w:styleId="41">
    <w:name w:val="HTML Cite"/>
    <w:basedOn w:val="31"/>
    <w:semiHidden/>
    <w:unhideWhenUsed/>
    <w:qFormat/>
    <w:uiPriority w:val="99"/>
  </w:style>
  <w:style w:type="character" w:styleId="42">
    <w:name w:val="HTML Keyboard"/>
    <w:basedOn w:val="31"/>
    <w:semiHidden/>
    <w:unhideWhenUsed/>
    <w:qFormat/>
    <w:uiPriority w:val="99"/>
    <w:rPr>
      <w:rFonts w:hint="default" w:ascii="Consolas" w:hAnsi="Consolas" w:eastAsia="Consolas" w:cs="Consolas"/>
      <w:color w:val="FFFFFF"/>
      <w:sz w:val="21"/>
      <w:szCs w:val="21"/>
      <w:shd w:val="clear" w:color="auto" w:fill="333333"/>
    </w:rPr>
  </w:style>
  <w:style w:type="character" w:styleId="43">
    <w:name w:val="HTML Sample"/>
    <w:basedOn w:val="31"/>
    <w:semiHidden/>
    <w:unhideWhenUsed/>
    <w:qFormat/>
    <w:uiPriority w:val="99"/>
    <w:rPr>
      <w:rFonts w:ascii="Consolas" w:hAnsi="Consolas" w:eastAsia="Consolas" w:cs="Consolas"/>
      <w:sz w:val="21"/>
      <w:szCs w:val="21"/>
    </w:rPr>
  </w:style>
  <w:style w:type="paragraph" w:customStyle="1" w:styleId="44">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5">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customStyle="1" w:styleId="46">
    <w:name w:val="表格文字"/>
    <w:basedOn w:val="1"/>
    <w:qFormat/>
    <w:uiPriority w:val="0"/>
    <w:pPr>
      <w:spacing w:before="25" w:after="25"/>
      <w:jc w:val="left"/>
    </w:pPr>
    <w:rPr>
      <w:bCs/>
      <w:spacing w:val="10"/>
      <w:kern w:val="0"/>
      <w:sz w:val="24"/>
    </w:rPr>
  </w:style>
  <w:style w:type="paragraph" w:customStyle="1" w:styleId="4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48">
    <w:name w:val="页脚 Char"/>
    <w:basedOn w:val="31"/>
    <w:link w:val="21"/>
    <w:qFormat/>
    <w:uiPriority w:val="99"/>
    <w:rPr>
      <w:rFonts w:ascii="Times New Roman" w:hAnsi="Times New Roman" w:eastAsia="宋体" w:cs="Times New Roman"/>
      <w:sz w:val="18"/>
      <w:szCs w:val="18"/>
    </w:rPr>
  </w:style>
  <w:style w:type="character" w:customStyle="1" w:styleId="49">
    <w:name w:val="纯文本 Char"/>
    <w:basedOn w:val="31"/>
    <w:link w:val="19"/>
    <w:qFormat/>
    <w:uiPriority w:val="0"/>
    <w:rPr>
      <w:rFonts w:ascii="宋体" w:hAnsi="Courier New" w:eastAsia="宋体" w:cs="Courier New"/>
      <w:szCs w:val="21"/>
    </w:rPr>
  </w:style>
  <w:style w:type="character" w:customStyle="1" w:styleId="50">
    <w:name w:val="正文文本缩进 Char"/>
    <w:basedOn w:val="31"/>
    <w:link w:val="17"/>
    <w:qFormat/>
    <w:uiPriority w:val="0"/>
    <w:rPr>
      <w:rFonts w:ascii="Times New Roman" w:hAnsi="Times New Roman" w:eastAsia="宋体" w:cs="Times New Roman"/>
      <w:sz w:val="32"/>
      <w:szCs w:val="20"/>
    </w:rPr>
  </w:style>
  <w:style w:type="character" w:customStyle="1" w:styleId="51">
    <w:name w:val="批注框文本 Char"/>
    <w:basedOn w:val="31"/>
    <w:link w:val="20"/>
    <w:qFormat/>
    <w:uiPriority w:val="0"/>
    <w:rPr>
      <w:rFonts w:ascii="Times New Roman" w:hAnsi="Times New Roman" w:eastAsia="宋体" w:cs="Times New Roman"/>
      <w:sz w:val="18"/>
      <w:szCs w:val="18"/>
    </w:rPr>
  </w:style>
  <w:style w:type="paragraph" w:customStyle="1" w:styleId="52">
    <w:name w:val="列出段落1"/>
    <w:basedOn w:val="1"/>
    <w:qFormat/>
    <w:uiPriority w:val="0"/>
    <w:pPr>
      <w:ind w:firstLine="420" w:firstLineChars="200"/>
    </w:pPr>
  </w:style>
  <w:style w:type="character" w:customStyle="1" w:styleId="53">
    <w:name w:val="标题 1 Char"/>
    <w:basedOn w:val="31"/>
    <w:link w:val="3"/>
    <w:qFormat/>
    <w:uiPriority w:val="0"/>
    <w:rPr>
      <w:rFonts w:ascii="Calibri" w:hAnsi="Calibri" w:eastAsia="仿宋" w:cs="Times New Roman"/>
      <w:b/>
      <w:bCs/>
      <w:kern w:val="44"/>
      <w:sz w:val="30"/>
      <w:szCs w:val="44"/>
    </w:rPr>
  </w:style>
  <w:style w:type="character" w:customStyle="1" w:styleId="54">
    <w:name w:val="标题 2 Char"/>
    <w:basedOn w:val="31"/>
    <w:link w:val="4"/>
    <w:qFormat/>
    <w:uiPriority w:val="0"/>
    <w:rPr>
      <w:rFonts w:ascii="Cambria" w:hAnsi="Cambria" w:eastAsia="宋体" w:cs="Times New Roman"/>
      <w:b/>
      <w:bCs/>
      <w:sz w:val="28"/>
      <w:szCs w:val="32"/>
    </w:rPr>
  </w:style>
  <w:style w:type="character" w:customStyle="1" w:styleId="55">
    <w:name w:val="标题 3 Char"/>
    <w:basedOn w:val="31"/>
    <w:link w:val="5"/>
    <w:qFormat/>
    <w:uiPriority w:val="0"/>
    <w:rPr>
      <w:rFonts w:ascii="Calibri" w:hAnsi="Calibri" w:eastAsia="宋体" w:cs="Times New Roman"/>
      <w:b/>
      <w:bCs/>
      <w:sz w:val="32"/>
      <w:szCs w:val="32"/>
    </w:rPr>
  </w:style>
  <w:style w:type="character" w:customStyle="1" w:styleId="56">
    <w:name w:val="标题 4 Char"/>
    <w:basedOn w:val="31"/>
    <w:link w:val="6"/>
    <w:qFormat/>
    <w:uiPriority w:val="0"/>
    <w:rPr>
      <w:rFonts w:ascii="Cambria" w:hAnsi="Cambria" w:eastAsia="宋体" w:cs="Times New Roman"/>
      <w:b/>
      <w:bCs/>
      <w:sz w:val="28"/>
      <w:szCs w:val="28"/>
    </w:rPr>
  </w:style>
  <w:style w:type="character" w:customStyle="1" w:styleId="57">
    <w:name w:val="标题 5 Char"/>
    <w:basedOn w:val="31"/>
    <w:link w:val="7"/>
    <w:qFormat/>
    <w:uiPriority w:val="0"/>
    <w:rPr>
      <w:rFonts w:ascii="Times New Roman" w:hAnsi="Times New Roman" w:eastAsia="宋体" w:cs="Times New Roman"/>
      <w:b/>
      <w:bCs/>
      <w:kern w:val="0"/>
      <w:sz w:val="28"/>
      <w:szCs w:val="28"/>
    </w:rPr>
  </w:style>
  <w:style w:type="character" w:customStyle="1" w:styleId="58">
    <w:name w:val="标题 6 Char"/>
    <w:basedOn w:val="31"/>
    <w:link w:val="8"/>
    <w:qFormat/>
    <w:uiPriority w:val="0"/>
    <w:rPr>
      <w:rFonts w:ascii="Arial" w:hAnsi="Arial" w:eastAsia="黑体" w:cs="Times New Roman"/>
      <w:b/>
      <w:bCs/>
      <w:kern w:val="0"/>
      <w:sz w:val="24"/>
      <w:szCs w:val="24"/>
    </w:rPr>
  </w:style>
  <w:style w:type="character" w:customStyle="1" w:styleId="59">
    <w:name w:val="标题 7 Char"/>
    <w:basedOn w:val="31"/>
    <w:link w:val="9"/>
    <w:qFormat/>
    <w:uiPriority w:val="0"/>
    <w:rPr>
      <w:rFonts w:ascii="Times New Roman" w:hAnsi="Times New Roman" w:eastAsia="宋体" w:cs="Times New Roman"/>
      <w:b/>
      <w:bCs/>
      <w:kern w:val="0"/>
      <w:sz w:val="24"/>
      <w:szCs w:val="24"/>
    </w:rPr>
  </w:style>
  <w:style w:type="character" w:customStyle="1" w:styleId="60">
    <w:name w:val="标题 8 Char"/>
    <w:basedOn w:val="31"/>
    <w:link w:val="10"/>
    <w:qFormat/>
    <w:uiPriority w:val="0"/>
    <w:rPr>
      <w:rFonts w:ascii="Arial" w:hAnsi="Arial" w:eastAsia="黑体" w:cs="Times New Roman"/>
      <w:kern w:val="0"/>
      <w:sz w:val="24"/>
      <w:szCs w:val="24"/>
    </w:rPr>
  </w:style>
  <w:style w:type="character" w:customStyle="1" w:styleId="61">
    <w:name w:val="标题 9 Char"/>
    <w:basedOn w:val="31"/>
    <w:link w:val="11"/>
    <w:qFormat/>
    <w:uiPriority w:val="0"/>
    <w:rPr>
      <w:rFonts w:ascii="Arial" w:hAnsi="Arial" w:eastAsia="黑体" w:cs="Times New Roman"/>
      <w:kern w:val="0"/>
      <w:szCs w:val="21"/>
    </w:rPr>
  </w:style>
  <w:style w:type="paragraph" w:customStyle="1" w:styleId="62">
    <w:name w:val="列出段落11"/>
    <w:basedOn w:val="1"/>
    <w:qFormat/>
    <w:uiPriority w:val="0"/>
    <w:pPr>
      <w:ind w:firstLine="420" w:firstLineChars="200"/>
    </w:pPr>
    <w:rPr>
      <w:rFonts w:ascii="Calibri" w:hAnsi="Calibri"/>
      <w:sz w:val="21"/>
      <w:szCs w:val="22"/>
    </w:rPr>
  </w:style>
  <w:style w:type="paragraph" w:customStyle="1" w:styleId="63">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64">
    <w:name w:val="文档结构图 Char"/>
    <w:basedOn w:val="31"/>
    <w:link w:val="14"/>
    <w:semiHidden/>
    <w:qFormat/>
    <w:uiPriority w:val="0"/>
    <w:rPr>
      <w:rFonts w:ascii="Heiti SC Light" w:hAnsi="Calibri" w:eastAsia="Times New Roman" w:cs="Times New Roman"/>
      <w:sz w:val="24"/>
      <w:szCs w:val="24"/>
    </w:rPr>
  </w:style>
  <w:style w:type="paragraph" w:customStyle="1" w:styleId="65">
    <w:name w:val="Char Char"/>
    <w:basedOn w:val="1"/>
    <w:qFormat/>
    <w:uiPriority w:val="0"/>
    <w:rPr>
      <w:rFonts w:ascii="Tahoma" w:hAnsi="Tahoma"/>
      <w:sz w:val="24"/>
      <w:szCs w:val="20"/>
    </w:rPr>
  </w:style>
  <w:style w:type="paragraph" w:customStyle="1" w:styleId="66">
    <w:name w:val="大汉方案正文"/>
    <w:basedOn w:val="1"/>
    <w:qFormat/>
    <w:uiPriority w:val="0"/>
    <w:pPr>
      <w:spacing w:line="360" w:lineRule="auto"/>
      <w:ind w:firstLine="200" w:firstLineChars="200"/>
    </w:pPr>
    <w:rPr>
      <w:rFonts w:ascii="Arial" w:hAnsi="Arial"/>
      <w:sz w:val="24"/>
      <w:szCs w:val="20"/>
    </w:rPr>
  </w:style>
  <w:style w:type="character" w:customStyle="1" w:styleId="67">
    <w:name w:val="批注文字 Char"/>
    <w:link w:val="15"/>
    <w:qFormat/>
    <w:uiPriority w:val="0"/>
    <w:rPr>
      <w:sz w:val="28"/>
    </w:rPr>
  </w:style>
  <w:style w:type="character" w:customStyle="1" w:styleId="68">
    <w:name w:val="正文缩进 Char"/>
    <w:link w:val="12"/>
    <w:qFormat/>
    <w:uiPriority w:val="0"/>
  </w:style>
  <w:style w:type="character" w:customStyle="1" w:styleId="69">
    <w:name w:val="纯文本 Char1"/>
    <w:qFormat/>
    <w:uiPriority w:val="0"/>
    <w:rPr>
      <w:rFonts w:ascii="宋体" w:hAnsi="Courier New" w:cs="Courier New"/>
      <w:kern w:val="2"/>
      <w:sz w:val="21"/>
      <w:szCs w:val="21"/>
    </w:rPr>
  </w:style>
  <w:style w:type="character" w:customStyle="1" w:styleId="70">
    <w:name w:val="批注文字 Char1"/>
    <w:basedOn w:val="31"/>
    <w:qFormat/>
    <w:uiPriority w:val="0"/>
    <w:rPr>
      <w:rFonts w:ascii="Times New Roman" w:hAnsi="Times New Roman" w:eastAsia="宋体" w:cs="Times New Roman"/>
      <w:sz w:val="28"/>
      <w:szCs w:val="24"/>
    </w:rPr>
  </w:style>
  <w:style w:type="character" w:customStyle="1" w:styleId="71">
    <w:name w:val="正文文本 Char"/>
    <w:basedOn w:val="31"/>
    <w:link w:val="16"/>
    <w:qFormat/>
    <w:uiPriority w:val="0"/>
    <w:rPr>
      <w:rFonts w:ascii="Times New Roman" w:hAnsi="Times New Roman" w:eastAsia="宋体" w:cs="Times New Roman"/>
      <w:sz w:val="24"/>
      <w:szCs w:val="24"/>
    </w:rPr>
  </w:style>
  <w:style w:type="paragraph" w:customStyle="1" w:styleId="72">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73">
    <w:name w:val="apple-converted-space"/>
    <w:qFormat/>
    <w:uiPriority w:val="0"/>
  </w:style>
  <w:style w:type="paragraph" w:customStyle="1" w:styleId="7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75">
    <w:name w:val="正文文本缩进 3 Char"/>
    <w:basedOn w:val="31"/>
    <w:link w:val="23"/>
    <w:qFormat/>
    <w:uiPriority w:val="0"/>
    <w:rPr>
      <w:rFonts w:ascii="Times New Roman" w:hAnsi="Times New Roman" w:eastAsia="宋体" w:cs="Times New Roman"/>
      <w:sz w:val="16"/>
      <w:szCs w:val="16"/>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标题 Char"/>
    <w:basedOn w:val="31"/>
    <w:link w:val="26"/>
    <w:qFormat/>
    <w:uiPriority w:val="0"/>
    <w:rPr>
      <w:rFonts w:ascii="Cambria" w:hAnsi="Cambria" w:eastAsia="宋体" w:cs="Times New Roman"/>
      <w:b/>
      <w:bCs/>
      <w:sz w:val="32"/>
      <w:szCs w:val="32"/>
    </w:rPr>
  </w:style>
  <w:style w:type="paragraph" w:customStyle="1" w:styleId="78">
    <w:name w:val="列出段落2"/>
    <w:basedOn w:val="1"/>
    <w:qFormat/>
    <w:uiPriority w:val="0"/>
    <w:pPr>
      <w:ind w:firstLine="420" w:firstLineChars="200"/>
    </w:pPr>
    <w:rPr>
      <w:rFonts w:ascii="Calibri" w:hAnsi="Calibri"/>
      <w:sz w:val="21"/>
      <w:szCs w:val="22"/>
    </w:rPr>
  </w:style>
  <w:style w:type="paragraph" w:customStyle="1" w:styleId="79">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80">
    <w:name w:val="标题 3 Char1"/>
    <w:qFormat/>
    <w:uiPriority w:val="0"/>
    <w:rPr>
      <w:rFonts w:ascii="Times New Roman" w:hAnsi="Times New Roman" w:eastAsia="宋体" w:cs="Times New Roman"/>
      <w:sz w:val="24"/>
      <w:szCs w:val="20"/>
    </w:rPr>
  </w:style>
  <w:style w:type="paragraph" w:customStyle="1" w:styleId="81">
    <w:name w:val="Char Char11 Char Char Char Char"/>
    <w:basedOn w:val="1"/>
    <w:qFormat/>
    <w:uiPriority w:val="0"/>
    <w:pPr>
      <w:tabs>
        <w:tab w:val="left" w:pos="360"/>
      </w:tabs>
    </w:pPr>
    <w:rPr>
      <w:sz w:val="21"/>
    </w:rPr>
  </w:style>
  <w:style w:type="paragraph" w:customStyle="1" w:styleId="82">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3">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5">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6">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0">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1">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3">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4">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5">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6">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7">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8">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0">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1">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2">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3">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104">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5">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7">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0">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1">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2">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14">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5">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6">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7">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8">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9">
    <w:name w:val="页眉 Char"/>
    <w:basedOn w:val="31"/>
    <w:link w:val="22"/>
    <w:qFormat/>
    <w:uiPriority w:val="0"/>
    <w:rPr>
      <w:rFonts w:ascii="Times New Roman" w:hAnsi="Times New Roman" w:eastAsia="宋体" w:cs="Times New Roman"/>
      <w:sz w:val="18"/>
      <w:szCs w:val="18"/>
    </w:rPr>
  </w:style>
  <w:style w:type="paragraph" w:styleId="120">
    <w:name w:val="List Paragraph"/>
    <w:basedOn w:val="1"/>
    <w:qFormat/>
    <w:uiPriority w:val="34"/>
    <w:pPr>
      <w:ind w:firstLine="420" w:firstLineChars="200"/>
    </w:pPr>
    <w:rPr>
      <w:rFonts w:ascii="Calibri" w:hAnsi="Calibri"/>
      <w:sz w:val="21"/>
      <w:szCs w:val="21"/>
    </w:rPr>
  </w:style>
  <w:style w:type="paragraph" w:customStyle="1" w:styleId="121">
    <w:name w:val="WPSOffice手动目录 1"/>
    <w:qFormat/>
    <w:uiPriority w:val="0"/>
    <w:rPr>
      <w:rFonts w:ascii="Times New Roman" w:hAnsi="Times New Roman" w:eastAsia="宋体" w:cs="Times New Roman"/>
      <w:lang w:val="en-US" w:eastAsia="zh-CN" w:bidi="ar-SA"/>
    </w:rPr>
  </w:style>
  <w:style w:type="character" w:customStyle="1" w:styleId="122">
    <w:name w:val="time"/>
    <w:basedOn w:val="31"/>
    <w:qFormat/>
    <w:uiPriority w:val="0"/>
    <w:rPr>
      <w:color w:val="484848"/>
    </w:rPr>
  </w:style>
  <w:style w:type="paragraph" w:styleId="123">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24">
    <w:name w:val="样式 宋体 小四 首行缩进:  0.63 厘米 行距: 1.5 倍行距"/>
    <w:basedOn w:val="1"/>
    <w:qFormat/>
    <w:uiPriority w:val="0"/>
    <w:pPr>
      <w:spacing w:line="360" w:lineRule="auto"/>
      <w:ind w:firstLine="200" w:firstLineChars="200"/>
    </w:pPr>
    <w:rPr>
      <w:rFonts w:ascii="宋体"/>
      <w:sz w:val="24"/>
      <w:szCs w:val="20"/>
    </w:rPr>
  </w:style>
  <w:style w:type="paragraph" w:customStyle="1" w:styleId="125">
    <w:name w:val="Table Paragraph"/>
    <w:basedOn w:val="1"/>
    <w:qFormat/>
    <w:uiPriority w:val="1"/>
    <w:pPr>
      <w:autoSpaceDE w:val="0"/>
      <w:autoSpaceDN w:val="0"/>
      <w:jc w:val="left"/>
    </w:pPr>
    <w:rPr>
      <w:rFonts w:ascii="宋体" w:hAnsi="宋体" w:cs="宋体"/>
      <w:sz w:val="22"/>
      <w:szCs w:val="22"/>
      <w:lang w:val="zh-CN" w:bidi="zh-CN"/>
    </w:rPr>
  </w:style>
  <w:style w:type="paragraph" w:customStyle="1" w:styleId="126">
    <w:name w:val="表内文字"/>
    <w:basedOn w:val="1"/>
    <w:next w:val="1"/>
    <w:qFormat/>
    <w:uiPriority w:val="0"/>
    <w:pPr>
      <w:widowControl/>
      <w:jc w:val="center"/>
      <w:textAlignment w:val="center"/>
    </w:pPr>
    <w:rPr>
      <w:sz w:val="21"/>
      <w:szCs w:val="21"/>
    </w:rPr>
  </w:style>
  <w:style w:type="paragraph" w:customStyle="1" w:styleId="127">
    <w:name w:val="正文（缩进）"/>
    <w:basedOn w:val="1"/>
    <w:qFormat/>
    <w:uiPriority w:val="0"/>
    <w:pPr>
      <w:spacing w:before="156" w:after="156"/>
    </w:pPr>
  </w:style>
  <w:style w:type="paragraph" w:customStyle="1" w:styleId="12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129">
    <w:name w:val="hover21"/>
    <w:basedOn w:val="31"/>
    <w:qFormat/>
    <w:uiPriority w:val="0"/>
    <w:rPr>
      <w:color w:val="FFFFFF"/>
      <w:shd w:val="clear" w:color="auto" w:fill="2D66A5"/>
    </w:rPr>
  </w:style>
  <w:style w:type="character" w:customStyle="1" w:styleId="130">
    <w:name w:val="layui-this"/>
    <w:basedOn w:val="31"/>
    <w:qFormat/>
    <w:uiPriority w:val="0"/>
    <w:rPr>
      <w:bdr w:val="single" w:color="EEEEEE" w:sz="6" w:space="0"/>
      <w:shd w:val="clear" w:color="auto" w:fill="FFFFFF"/>
    </w:rPr>
  </w:style>
  <w:style w:type="character" w:customStyle="1" w:styleId="131">
    <w:name w:val="xx"/>
    <w:basedOn w:val="31"/>
    <w:qFormat/>
    <w:uiPriority w:val="0"/>
    <w:rPr>
      <w:color w:val="3A77B9"/>
    </w:rPr>
  </w:style>
  <w:style w:type="character" w:customStyle="1" w:styleId="132">
    <w:name w:val="current7"/>
    <w:basedOn w:val="31"/>
    <w:qFormat/>
    <w:uiPriority w:val="0"/>
    <w:rPr>
      <w:color w:val="FFFFFF"/>
      <w:shd w:val="clear" w:color="auto" w:fill="2D66A5"/>
    </w:rPr>
  </w:style>
  <w:style w:type="character" w:customStyle="1" w:styleId="133">
    <w:name w:val="first-child"/>
    <w:basedOn w:val="31"/>
    <w:qFormat/>
    <w:uiPriority w:val="0"/>
  </w:style>
  <w:style w:type="character" w:customStyle="1" w:styleId="134">
    <w:name w:val="more6"/>
    <w:basedOn w:val="31"/>
    <w:qFormat/>
    <w:uiPriority w:val="0"/>
    <w:rPr>
      <w:sz w:val="21"/>
      <w:szCs w:val="21"/>
    </w:rPr>
  </w:style>
  <w:style w:type="character" w:customStyle="1" w:styleId="135">
    <w:name w:val="first-child1"/>
    <w:basedOn w:val="31"/>
    <w:qFormat/>
    <w:uiPriority w:val="0"/>
  </w:style>
  <w:style w:type="character" w:customStyle="1" w:styleId="136">
    <w:name w:val="more"/>
    <w:basedOn w:val="31"/>
    <w:qFormat/>
    <w:uiPriority w:val="0"/>
    <w:rPr>
      <w:sz w:val="21"/>
      <w:szCs w:val="21"/>
    </w:rPr>
  </w:style>
  <w:style w:type="character" w:customStyle="1" w:styleId="137">
    <w:name w:val="hover17"/>
    <w:basedOn w:val="31"/>
    <w:qFormat/>
    <w:uiPriority w:val="0"/>
    <w:rPr>
      <w:color w:val="FFFFFF"/>
      <w:shd w:val="clear" w:color="auto" w:fill="2D66A5"/>
    </w:rPr>
  </w:style>
  <w:style w:type="character" w:customStyle="1" w:styleId="138">
    <w:name w:val="hover16"/>
    <w:basedOn w:val="31"/>
    <w:qFormat/>
    <w:uiPriority w:val="0"/>
    <w:rPr>
      <w:color w:val="FFFFFF"/>
      <w:shd w:val="clear" w:color="auto" w:fill="2D66A5"/>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DD9AB-24EC-49EA-94E7-E9B6B264C943}">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43</Pages>
  <Words>18232</Words>
  <Characters>19611</Characters>
  <Lines>157</Lines>
  <Paragraphs>44</Paragraphs>
  <TotalTime>7</TotalTime>
  <ScaleCrop>false</ScaleCrop>
  <LinksUpToDate>false</LinksUpToDate>
  <CharactersWithSpaces>20408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2022-06-20T04:48:00Z</dcterms:created>
  <dc:creator>wzg</dc:creator>
  <cp:lastModifiedBy>lenovo</cp:lastModifiedBy>
  <cp:lastPrinted>2022-06-29T00:46:00Z</cp:lastPrinted>
  <dcterms:modified xsi:type="dcterms:W3CDTF">2022-07-08T03:27:54Z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ADBD2FEE75E241AFB4DC15BC196EBB0C</vt:lpwstr>
  </property>
</Properties>
</file>